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BB434" w14:textId="4600AD83" w:rsidR="007F35FF" w:rsidRDefault="00CC42EF">
      <w:r>
        <w:rPr>
          <w:noProof/>
        </w:rPr>
        <w:drawing>
          <wp:inline distT="0" distB="0" distL="0" distR="0" wp14:anchorId="230D46A5" wp14:editId="4F5BE96E">
            <wp:extent cx="5370576" cy="749808"/>
            <wp:effectExtent l="0" t="0" r="1905" b="0"/>
            <wp:docPr id="202547744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076124" name="Obraz 122007612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0576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9385E" w14:textId="77777777" w:rsidR="00466559" w:rsidRDefault="00466559"/>
    <w:p w14:paraId="273646D2" w14:textId="77777777" w:rsidR="00CC42EF" w:rsidRPr="00466559" w:rsidRDefault="00CC42EF" w:rsidP="00CC42EF">
      <w:pPr>
        <w:rPr>
          <w:b/>
          <w:bCs/>
          <w:sz w:val="40"/>
          <w:szCs w:val="40"/>
        </w:rPr>
      </w:pPr>
      <w:r w:rsidRPr="00466559">
        <w:rPr>
          <w:b/>
          <w:bCs/>
          <w:sz w:val="40"/>
          <w:szCs w:val="40"/>
        </w:rPr>
        <w:t>Poprawa dostępu do małej infrastruktury publicznej</w:t>
      </w:r>
    </w:p>
    <w:p w14:paraId="6847A959" w14:textId="77777777" w:rsidR="00CC42EF" w:rsidRPr="00466559" w:rsidRDefault="00CC42EF" w:rsidP="00CC42EF">
      <w:pPr>
        <w:rPr>
          <w:b/>
          <w:bCs/>
          <w:sz w:val="30"/>
          <w:szCs w:val="30"/>
          <w:u w:val="single"/>
        </w:rPr>
      </w:pPr>
      <w:r w:rsidRPr="00466559">
        <w:rPr>
          <w:b/>
          <w:bCs/>
          <w:sz w:val="30"/>
          <w:szCs w:val="30"/>
          <w:u w:val="single"/>
        </w:rPr>
        <w:t>Poziom oraz forma wsparcia</w:t>
      </w:r>
    </w:p>
    <w:p w14:paraId="39040506" w14:textId="27A864F5" w:rsidR="00CC42EF" w:rsidRDefault="005D1CBC" w:rsidP="00CC42EF">
      <w:r>
        <w:t>P</w:t>
      </w:r>
      <w:r w:rsidR="00CC42EF">
        <w:t>oziom dofinansowania wynosi:</w:t>
      </w:r>
    </w:p>
    <w:p w14:paraId="6A41869A" w14:textId="77777777" w:rsidR="00CC42EF" w:rsidRDefault="00CC42EF" w:rsidP="00466559">
      <w:pPr>
        <w:pStyle w:val="Akapitzlist"/>
        <w:numPr>
          <w:ilvl w:val="0"/>
          <w:numId w:val="11"/>
        </w:numPr>
      </w:pPr>
      <w:r>
        <w:t>75% kosztów kwalifikowalnych zaplanowanych do poniesienia w ramach operacji realizowanych przez JSFP,</w:t>
      </w:r>
    </w:p>
    <w:p w14:paraId="6ED5B076" w14:textId="77777777" w:rsidR="00CC42EF" w:rsidRDefault="00CC42EF" w:rsidP="00466559">
      <w:pPr>
        <w:pStyle w:val="Akapitzlist"/>
        <w:numPr>
          <w:ilvl w:val="0"/>
          <w:numId w:val="11"/>
        </w:numPr>
      </w:pPr>
      <w:r>
        <w:t>100% kosztów kwalifikowanych zaplanowanych do poniesienia w ramach operacji realizowanych przez organizacje pozarządowe.</w:t>
      </w:r>
    </w:p>
    <w:p w14:paraId="1B706CAA" w14:textId="37CE4E43" w:rsidR="00CC42EF" w:rsidRDefault="00CC42EF" w:rsidP="00CC42EF">
      <w:r>
        <w:t>W przypadku operacji realizowanych przez JSFP wymagany krajowy wkład środków publicznych,</w:t>
      </w:r>
      <w:r w:rsidR="00466559">
        <w:t xml:space="preserve">                    </w:t>
      </w:r>
      <w:r>
        <w:t xml:space="preserve"> w wysokości co najmniej </w:t>
      </w:r>
      <w:r w:rsidRPr="00466559">
        <w:rPr>
          <w:b/>
          <w:bCs/>
        </w:rPr>
        <w:t>45% kosztów kwalifikowanych projektu</w:t>
      </w:r>
      <w:r>
        <w:t xml:space="preserve">, pochodzi ze środków własnych beneficjenta w wysokości co najmniej </w:t>
      </w:r>
      <w:r w:rsidRPr="00466559">
        <w:rPr>
          <w:b/>
          <w:bCs/>
        </w:rPr>
        <w:t xml:space="preserve">25% </w:t>
      </w:r>
      <w:r>
        <w:t xml:space="preserve">kosztów kwalifikowanych projektu oraz ze środków budżetu państwa w wysokości maksymalnie </w:t>
      </w:r>
      <w:r w:rsidRPr="00466559">
        <w:rPr>
          <w:b/>
          <w:bCs/>
        </w:rPr>
        <w:t>20%</w:t>
      </w:r>
      <w:r>
        <w:t xml:space="preserve"> kosztów kwalifikowanych projektu.</w:t>
      </w:r>
    </w:p>
    <w:p w14:paraId="45FB626B" w14:textId="009D31DE" w:rsidR="00CC42EF" w:rsidRPr="005160AF" w:rsidRDefault="00CC42EF" w:rsidP="00CC42EF">
      <w:pPr>
        <w:rPr>
          <w:i/>
          <w:iCs/>
        </w:rPr>
      </w:pPr>
      <w:r>
        <w:t xml:space="preserve">Oprócz pomocy finansowej wypłacanej przez agencję płatniczą (75% kosztów kwalifikowalnych), wydatkami publicznymi w rozumieniu </w:t>
      </w:r>
      <w:r w:rsidRPr="005160AF">
        <w:rPr>
          <w:i/>
          <w:iCs/>
        </w:rPr>
        <w:t>art. 3 pkt 5 rozporządzenia 2021/2115</w:t>
      </w:r>
      <w:r>
        <w:t xml:space="preserve"> jest także wkład własny beneficjenta, będącego jednostką sektora finansów publicznych, w realizowaną operację, z tym, że ta część tego wkładu, która powoduje zaburzenie proporcji pomiędzy wkładem EFRROW, a wymaganym krajowym wkładem środków publicznych równej 55% do 45% - nie stanowi kwalifikowalnych wydatków publicznych, w rozumieniu </w:t>
      </w:r>
      <w:r w:rsidRPr="005160AF">
        <w:rPr>
          <w:i/>
          <w:iCs/>
        </w:rPr>
        <w:t>art. 90 rozporządzenia 2021/2115.</w:t>
      </w:r>
    </w:p>
    <w:p w14:paraId="6850683E" w14:textId="298EB6BD" w:rsidR="00CC42EF" w:rsidRPr="00466559" w:rsidRDefault="00CC42EF" w:rsidP="00CC42EF">
      <w:pPr>
        <w:rPr>
          <w:b/>
          <w:bCs/>
        </w:rPr>
      </w:pPr>
      <w:r w:rsidRPr="00466559">
        <w:rPr>
          <w:u w:val="single"/>
        </w:rPr>
        <w:t>Minimalna kwota pomocy</w:t>
      </w:r>
      <w:r>
        <w:t xml:space="preserve"> wynosi nie mniej </w:t>
      </w:r>
      <w:r w:rsidRPr="00466559">
        <w:rPr>
          <w:b/>
          <w:bCs/>
        </w:rPr>
        <w:t>niż 50 000,00 zł.</w:t>
      </w:r>
    </w:p>
    <w:p w14:paraId="6FBBF07B" w14:textId="77777777" w:rsidR="00CC42EF" w:rsidRDefault="00CC42EF" w:rsidP="00CC42EF">
      <w:r w:rsidRPr="00466559">
        <w:rPr>
          <w:u w:val="single"/>
        </w:rPr>
        <w:t>Maksymalna kwota pomocy</w:t>
      </w:r>
      <w:r>
        <w:t xml:space="preserve"> w ramach naboru wniosków wynosi nie więcej niż </w:t>
      </w:r>
      <w:r w:rsidRPr="00466559">
        <w:rPr>
          <w:b/>
          <w:bCs/>
        </w:rPr>
        <w:t>500 000,00 zł.</w:t>
      </w:r>
      <w:r>
        <w:t xml:space="preserve"> - maksymalna kwota pomocy może być określona na niższym poziomie w ramach regulaminu naboru wniosków o przyznanie pomocy.</w:t>
      </w:r>
    </w:p>
    <w:p w14:paraId="37909C71" w14:textId="63054720" w:rsidR="00CC42EF" w:rsidRDefault="00CC42EF" w:rsidP="00CC42EF">
      <w:r>
        <w:t xml:space="preserve">Suma pomocy dla jednego beneficjenta nie może przekroczyć </w:t>
      </w:r>
      <w:r w:rsidRPr="00466559">
        <w:rPr>
          <w:b/>
          <w:bCs/>
        </w:rPr>
        <w:t>500 tys. zł</w:t>
      </w:r>
      <w:r>
        <w:t xml:space="preserve"> w okresie realizacji PS WPR.</w:t>
      </w:r>
    </w:p>
    <w:p w14:paraId="2564C329" w14:textId="5C86937E" w:rsidR="00CC42EF" w:rsidRDefault="00CC42EF" w:rsidP="00CC42EF">
      <w:r>
        <w:t>Limitu dotyczącego sumy pomocy w okresie realizacji PS WPR, nie stosuje się do JSFP.</w:t>
      </w:r>
    </w:p>
    <w:p w14:paraId="7E8FADB5" w14:textId="31D52A7B" w:rsidR="00CC42EF" w:rsidRDefault="00CC42EF" w:rsidP="00CC42EF">
      <w:r>
        <w:t>Pomoc przyznawana jest w formie zwrotu części kosztów kwalifikowalnych rzeczywiście poniesionych przez beneficjenta.</w:t>
      </w:r>
    </w:p>
    <w:p w14:paraId="733F913B" w14:textId="0E8CCA1C" w:rsidR="00CC42EF" w:rsidRDefault="00CC42EF" w:rsidP="00CC42EF">
      <w:r>
        <w:t xml:space="preserve">Kwotę pomocy ustala się na podstawie planowanych kosztów kwalifikowalnych zawartych </w:t>
      </w:r>
      <w:r w:rsidR="00466559">
        <w:t xml:space="preserve">                            </w:t>
      </w:r>
      <w:r>
        <w:t>w zestawieniu rzeczowo-finansowym operacji.</w:t>
      </w:r>
    </w:p>
    <w:p w14:paraId="45CF82C2" w14:textId="4A324360" w:rsidR="00CC42EF" w:rsidRDefault="00CC42EF" w:rsidP="00CC42EF">
      <w:r>
        <w:t>Podmiot ubiegający się o przyznanie pomocy może ubiegać się o wyprzedzające finansowanie kosztów kwalifikowalnych lub wypłatę zaliczki na realizację operacji.</w:t>
      </w:r>
    </w:p>
    <w:p w14:paraId="44D825F1" w14:textId="77777777" w:rsidR="00CC42EF" w:rsidRPr="00466559" w:rsidRDefault="00CC42EF" w:rsidP="00CC42EF">
      <w:pPr>
        <w:rPr>
          <w:b/>
          <w:bCs/>
          <w:sz w:val="30"/>
          <w:szCs w:val="30"/>
          <w:u w:val="single"/>
        </w:rPr>
      </w:pPr>
      <w:r w:rsidRPr="00466559">
        <w:rPr>
          <w:b/>
          <w:bCs/>
          <w:sz w:val="30"/>
          <w:szCs w:val="30"/>
          <w:u w:val="single"/>
        </w:rPr>
        <w:t>Warunki podmiotowe</w:t>
      </w:r>
    </w:p>
    <w:p w14:paraId="7BE35E04" w14:textId="054FA45A" w:rsidR="00CC42EF" w:rsidRDefault="00CC42EF" w:rsidP="00CC42EF">
      <w:r>
        <w:t xml:space="preserve">Wnioskodawca co najmniej od roku poprzedzającego dzień złożenia wniosku o przyznanie pomocy posiada siedzibę lub oddział, które znajdują się na obszarze wiejskim objętym LSR – w przypadku </w:t>
      </w:r>
      <w:r>
        <w:lastRenderedPageBreak/>
        <w:t>wnioskodawcy będącego osobą prawną lub jednostką organizacyjną nieposiadającą osobowości prawnej, której ustawa przyznaje zdolność prawną.</w:t>
      </w:r>
    </w:p>
    <w:p w14:paraId="35B1F90F" w14:textId="5B60C871" w:rsidR="00CC42EF" w:rsidRDefault="00CC42EF" w:rsidP="00CC42EF">
      <w:r>
        <w:t>W/w warunek nie ma zastosowania do:</w:t>
      </w:r>
    </w:p>
    <w:p w14:paraId="07AC7B56" w14:textId="77777777" w:rsidR="00CC42EF" w:rsidRDefault="00CC42EF" w:rsidP="00466559">
      <w:pPr>
        <w:pStyle w:val="Akapitzlist"/>
        <w:numPr>
          <w:ilvl w:val="0"/>
          <w:numId w:val="12"/>
        </w:numPr>
      </w:pPr>
      <w:r>
        <w:t>gminy, której obszar jest obszarem wiejskim objętym LSR,</w:t>
      </w:r>
    </w:p>
    <w:p w14:paraId="7F043F45" w14:textId="77777777" w:rsidR="00CC42EF" w:rsidRDefault="00CC42EF" w:rsidP="00466559">
      <w:pPr>
        <w:pStyle w:val="Akapitzlist"/>
        <w:numPr>
          <w:ilvl w:val="0"/>
          <w:numId w:val="12"/>
        </w:numPr>
      </w:pPr>
      <w:r>
        <w:t>powiatu, jeżeli przynajmniej jedna z gmin, której obszar jest obszarem wiejskim objętym LSR, objęta jest obszarem tego powiatu,</w:t>
      </w:r>
    </w:p>
    <w:p w14:paraId="60FC40A3" w14:textId="77777777" w:rsidR="00CC42EF" w:rsidRDefault="00CC42EF" w:rsidP="00466559">
      <w:pPr>
        <w:pStyle w:val="Akapitzlist"/>
        <w:numPr>
          <w:ilvl w:val="0"/>
          <w:numId w:val="12"/>
        </w:numPr>
      </w:pPr>
      <w:r>
        <w:t>gminnych lub powiatowych jednostek organizacyjnych.</w:t>
      </w:r>
    </w:p>
    <w:p w14:paraId="22BF66C2" w14:textId="566D8F67" w:rsidR="00CC42EF" w:rsidRDefault="00CC42EF" w:rsidP="00CC42EF">
      <w:r>
        <w:t>Pomocy nie przyznaje się województwom.</w:t>
      </w:r>
    </w:p>
    <w:p w14:paraId="60392665" w14:textId="44235189" w:rsidR="00CC42EF" w:rsidRDefault="00CC42EF" w:rsidP="00CC42EF">
      <w:r>
        <w:t>W zakresie poprawy dostępu do małej infrastruktury publicznej pomoc przyznaje się JSFP albo organizacji pozarządowej.</w:t>
      </w:r>
    </w:p>
    <w:p w14:paraId="3389961D" w14:textId="19FBDCEC" w:rsidR="00CC42EF" w:rsidRDefault="00CC42EF" w:rsidP="00CC42EF">
      <w:r>
        <w:t>O pomoc może ubiegać się wyłącznie podmiot posiadający numer identyfikacyjny nadany w trybie przepisów o krajowym systemie ewidencji producentów, ewidencji gospodarstw rolnych oraz ewidencji wniosków o przyznanie pomocy.</w:t>
      </w:r>
    </w:p>
    <w:p w14:paraId="4050AA88" w14:textId="77777777" w:rsidR="00CC42EF" w:rsidRPr="00466559" w:rsidRDefault="00CC42EF" w:rsidP="00CC42EF">
      <w:pPr>
        <w:rPr>
          <w:b/>
          <w:bCs/>
          <w:sz w:val="30"/>
          <w:szCs w:val="30"/>
          <w:u w:val="single"/>
        </w:rPr>
      </w:pPr>
      <w:r w:rsidRPr="00466559">
        <w:rPr>
          <w:b/>
          <w:bCs/>
          <w:sz w:val="30"/>
          <w:szCs w:val="30"/>
          <w:u w:val="single"/>
        </w:rPr>
        <w:t>Warunki przedmiotowe</w:t>
      </w:r>
    </w:p>
    <w:p w14:paraId="4591A4C7" w14:textId="6E570FA4" w:rsidR="00CC42EF" w:rsidRDefault="00CC42EF" w:rsidP="00CC42EF">
      <w:r>
        <w:t>Pomoc przyznaje się na operacje:</w:t>
      </w:r>
    </w:p>
    <w:p w14:paraId="7F6B3DBB" w14:textId="77777777" w:rsidR="00CC42EF" w:rsidRDefault="00CC42EF" w:rsidP="00466559">
      <w:pPr>
        <w:pStyle w:val="Akapitzlist"/>
        <w:numPr>
          <w:ilvl w:val="0"/>
          <w:numId w:val="13"/>
        </w:numPr>
      </w:pPr>
      <w:r>
        <w:t>jeżeli LSR przewiduje udzielenie pomocy w tym zakresie lub na dany szczególny rodzaj operacji,</w:t>
      </w:r>
    </w:p>
    <w:p w14:paraId="502C2E29" w14:textId="77777777" w:rsidR="00CC42EF" w:rsidRDefault="00CC42EF" w:rsidP="00466559">
      <w:pPr>
        <w:pStyle w:val="Akapitzlist"/>
        <w:numPr>
          <w:ilvl w:val="0"/>
          <w:numId w:val="13"/>
        </w:numPr>
      </w:pPr>
      <w:r>
        <w:t>która została wybrana do finansowania ze środków danej LSR, a tym samym uzyskała pozytywny wynik wyboru operacji,</w:t>
      </w:r>
    </w:p>
    <w:p w14:paraId="49F3C538" w14:textId="77777777" w:rsidR="00CC42EF" w:rsidRDefault="00CC42EF" w:rsidP="00466559">
      <w:pPr>
        <w:pStyle w:val="Akapitzlist"/>
        <w:numPr>
          <w:ilvl w:val="0"/>
          <w:numId w:val="13"/>
        </w:numPr>
      </w:pPr>
      <w:r>
        <w:t>której realizacja nastąpi w maksymalnie 2 etapach w terminie do 2 lat od dnia zawarcia umowy o przyznaniu pomocy, lecz nie później niż do dnia 30 czerwca 2029 r.</w:t>
      </w:r>
    </w:p>
    <w:p w14:paraId="1B63406F" w14:textId="6C8D06D9" w:rsidR="00CC42EF" w:rsidRDefault="00CC42EF" w:rsidP="00CC42EF">
      <w:r>
        <w:t>W przypadku gdy operacja jest inwestycją trwale związaną z nieruchomością, pomoc przyznaje się, jeżeli jest realizowana:</w:t>
      </w:r>
    </w:p>
    <w:p w14:paraId="49AB8FE1" w14:textId="77777777" w:rsidR="00CC42EF" w:rsidRDefault="00CC42EF" w:rsidP="00466559">
      <w:pPr>
        <w:pStyle w:val="Akapitzlist"/>
        <w:numPr>
          <w:ilvl w:val="0"/>
          <w:numId w:val="14"/>
        </w:numPr>
      </w:pPr>
      <w:r>
        <w:t>na obszarze objętym LSR,</w:t>
      </w:r>
    </w:p>
    <w:p w14:paraId="55BB955C" w14:textId="77777777" w:rsidR="00CC42EF" w:rsidRDefault="00CC42EF" w:rsidP="00466559">
      <w:pPr>
        <w:pStyle w:val="Akapitzlist"/>
        <w:numPr>
          <w:ilvl w:val="0"/>
          <w:numId w:val="14"/>
        </w:numPr>
      </w:pPr>
      <w:r>
        <w:t>na nieruchomości będącej własnością wnioskodawcy lub do której wnioskodawca posiada tytuł prawny do dysponowania na cele określone we wniosku o przyznanie pomocy przez okres ubiegania się o przyznanie pomocy na operację, okres realizacji operacji oraz okres związania z celem.</w:t>
      </w:r>
    </w:p>
    <w:p w14:paraId="62F99095" w14:textId="64392518" w:rsidR="00CC42EF" w:rsidRDefault="00CC42EF" w:rsidP="00CC42EF">
      <w:r>
        <w:t>W przypadku operacji, która obejmuje koszty zakupu i instalacji odnawialnych źródeł energii, pomoc przyznaje się, jeżeli suma planowanych do poniesienia kosztów dotyczących odnawialnych źródeł energii nie przekracza połowy wszystkich kosztów kwalifikowalnych.</w:t>
      </w:r>
    </w:p>
    <w:p w14:paraId="19FF8A2F" w14:textId="7F50EFFE" w:rsidR="00CC42EF" w:rsidRDefault="00CC42EF" w:rsidP="00CC42EF">
      <w:r>
        <w:t xml:space="preserve">Pomocy nie przyznaje się na operacje obejmujące budowę lub modernizację dróg w </w:t>
      </w:r>
      <w:r w:rsidRPr="005160AF">
        <w:rPr>
          <w:i/>
          <w:iCs/>
        </w:rPr>
        <w:t>rozumieniu art. 4 ustawy z dnia 21 marca 1985</w:t>
      </w:r>
      <w:r>
        <w:t xml:space="preserve"> r. o drogach publicznych, targowisk, sieci wodno-kanalizacyjnych, przydomowych oczyszczalni ścieków oraz operacje dotyczące świadczenia usług rolniczych.</w:t>
      </w:r>
    </w:p>
    <w:p w14:paraId="69E75D4B" w14:textId="5F13E127" w:rsidR="00CC42EF" w:rsidRDefault="00CC42EF" w:rsidP="00CC42EF">
      <w:r>
        <w:t>Pomoc w zakresie poprawy dostępu do małej infrastruktury publicznej przyznaje się, jeżeli:</w:t>
      </w:r>
    </w:p>
    <w:p w14:paraId="6BF30865" w14:textId="77777777" w:rsidR="00CC42EF" w:rsidRDefault="00CC42EF" w:rsidP="00466559">
      <w:pPr>
        <w:pStyle w:val="Akapitzlist"/>
        <w:numPr>
          <w:ilvl w:val="0"/>
          <w:numId w:val="15"/>
        </w:numPr>
      </w:pPr>
      <w:r>
        <w:t>operacja służy zaspokajaniu potrzeb społeczności lokalnej,</w:t>
      </w:r>
    </w:p>
    <w:p w14:paraId="6595F816" w14:textId="77777777" w:rsidR="00CC42EF" w:rsidRDefault="00CC42EF" w:rsidP="00466559">
      <w:pPr>
        <w:pStyle w:val="Akapitzlist"/>
        <w:numPr>
          <w:ilvl w:val="0"/>
          <w:numId w:val="15"/>
        </w:numPr>
      </w:pPr>
      <w:r>
        <w:t>infrastruktura będąca efektem tej inwestycji jest ogólnodostępna i niekomercyjna lub obejmuje obiekty użyteczności publicznej,</w:t>
      </w:r>
    </w:p>
    <w:p w14:paraId="455B4553" w14:textId="77777777" w:rsidR="00CC42EF" w:rsidRDefault="00CC42EF" w:rsidP="00466559">
      <w:pPr>
        <w:pStyle w:val="Akapitzlist"/>
        <w:numPr>
          <w:ilvl w:val="0"/>
          <w:numId w:val="15"/>
        </w:numPr>
      </w:pPr>
      <w:r>
        <w:t>koszty całkowite operacji nie przekraczają 1 mln euro.</w:t>
      </w:r>
    </w:p>
    <w:p w14:paraId="058AB72F" w14:textId="79015C1F" w:rsidR="00CC42EF" w:rsidRDefault="00CC42EF" w:rsidP="00CC42EF">
      <w:r>
        <w:lastRenderedPageBreak/>
        <w:t>Pomocy nie przyznaje się na operację realizowaną w partnerstwie, o której mowa w wytycznych szczegółowych.</w:t>
      </w:r>
    </w:p>
    <w:p w14:paraId="508A7F7F" w14:textId="77777777" w:rsidR="00CC42EF" w:rsidRPr="00466559" w:rsidRDefault="00CC42EF" w:rsidP="00CC42EF">
      <w:pPr>
        <w:rPr>
          <w:b/>
          <w:bCs/>
          <w:sz w:val="30"/>
          <w:szCs w:val="30"/>
          <w:u w:val="single"/>
        </w:rPr>
      </w:pPr>
      <w:r w:rsidRPr="00466559">
        <w:rPr>
          <w:b/>
          <w:bCs/>
          <w:sz w:val="30"/>
          <w:szCs w:val="30"/>
          <w:u w:val="single"/>
        </w:rPr>
        <w:t>Warunki wypłaty pomocy</w:t>
      </w:r>
    </w:p>
    <w:p w14:paraId="6CF5F047" w14:textId="49877745" w:rsidR="00CC42EF" w:rsidRDefault="00CC42EF" w:rsidP="00CC42EF">
      <w:r>
        <w:t>Środki finansowe z tytułu pomocy są wypłacane, jeżeli beneficjent spełnił warunki wypłaty określone w umowie o przyznaniu pomocy, w szczególności:</w:t>
      </w:r>
    </w:p>
    <w:p w14:paraId="320FBDF8" w14:textId="77777777" w:rsidR="00CC42EF" w:rsidRDefault="00CC42EF" w:rsidP="00466559">
      <w:pPr>
        <w:pStyle w:val="Akapitzlist"/>
        <w:numPr>
          <w:ilvl w:val="0"/>
          <w:numId w:val="16"/>
        </w:numPr>
      </w:pPr>
      <w:r>
        <w:t>zrealizował operację/etap operacji zgodnie z przepisami prawa powszechnie obowiązującego, regulaminem naboru wniosków i umową o przyznaniu pomocy,</w:t>
      </w:r>
    </w:p>
    <w:p w14:paraId="20F79568" w14:textId="77777777" w:rsidR="00CC42EF" w:rsidRDefault="00CC42EF" w:rsidP="00466559">
      <w:pPr>
        <w:pStyle w:val="Akapitzlist"/>
        <w:numPr>
          <w:ilvl w:val="0"/>
          <w:numId w:val="16"/>
        </w:numPr>
      </w:pPr>
      <w:r>
        <w:t>złożył wniosek o płatność wraz z dokumentami potwierdzającymi realizację etapu lub operacji w terminie wynikającym z umowy o przyznaniu pomocy,</w:t>
      </w:r>
    </w:p>
    <w:p w14:paraId="552B871A" w14:textId="77777777" w:rsidR="00CC42EF" w:rsidRDefault="00CC42EF" w:rsidP="00466559">
      <w:pPr>
        <w:pStyle w:val="Akapitzlist"/>
        <w:numPr>
          <w:ilvl w:val="0"/>
          <w:numId w:val="16"/>
        </w:numPr>
      </w:pPr>
      <w:r>
        <w:t>udokumentował zrealizowanie operacji lub etapu operacji, w tym poniósł koszty kwalifikowalne i je opłacił zgodnie z umową o przyznaniu pomocy i przepisami prawa powszechnie obowiązującymi, w formie rozliczenia bezgotówkowego,</w:t>
      </w:r>
    </w:p>
    <w:p w14:paraId="01EAE5DD" w14:textId="77777777" w:rsidR="00CC42EF" w:rsidRDefault="00CC42EF" w:rsidP="00466559">
      <w:pPr>
        <w:pStyle w:val="Akapitzlist"/>
        <w:numPr>
          <w:ilvl w:val="0"/>
          <w:numId w:val="16"/>
        </w:numPr>
      </w:pPr>
      <w:r>
        <w:t>realizuje inwestycję lub operację zgodnie z kryteriami, za które zostały przyznane punkty, albo spełnił warunki lub zrealizował działania, z tytułu których przyznano punkty,</w:t>
      </w:r>
    </w:p>
    <w:p w14:paraId="2B80F49A" w14:textId="77777777" w:rsidR="00CC42EF" w:rsidRDefault="00CC42EF" w:rsidP="00466559">
      <w:pPr>
        <w:pStyle w:val="Akapitzlist"/>
        <w:numPr>
          <w:ilvl w:val="0"/>
          <w:numId w:val="16"/>
        </w:numPr>
      </w:pPr>
      <w:r>
        <w:t>nie finansował realizowanych inwestycji, operacji lub kosztów kwalifikowalnych operacji z udziałem innych środków publicznych, jeśli dotyczy,</w:t>
      </w:r>
    </w:p>
    <w:p w14:paraId="0D347CF6" w14:textId="77777777" w:rsidR="00CC42EF" w:rsidRDefault="00CC42EF" w:rsidP="00466559">
      <w:pPr>
        <w:pStyle w:val="Akapitzlist"/>
        <w:numPr>
          <w:ilvl w:val="0"/>
          <w:numId w:val="16"/>
        </w:numPr>
      </w:pPr>
      <w:r>
        <w:t>prowadził oddzielny system rachunkowości lub korzystał z odpowiedniego kodu rachunkowego dla wszystkich transakcji związanych z realizacja operacji w ramach prowadzonych ksiąg rachunkowych, a gdy nie był zobowiązanych do prowadzenia ksiąg rachunkowych – prowadził zestawienie faktur lub równoważnych dokumentów księgowych,</w:t>
      </w:r>
    </w:p>
    <w:p w14:paraId="31AA98A6" w14:textId="77777777" w:rsidR="00CC42EF" w:rsidRDefault="00CC42EF" w:rsidP="00466559">
      <w:pPr>
        <w:pStyle w:val="Akapitzlist"/>
        <w:numPr>
          <w:ilvl w:val="0"/>
          <w:numId w:val="16"/>
        </w:numPr>
      </w:pPr>
      <w:r w:rsidRPr="00466559">
        <w:rPr>
          <w:b/>
          <w:bCs/>
        </w:rPr>
        <w:t>poniósł koszty kwalifikowalne operacji zgodnie z ustawą PZP</w:t>
      </w:r>
      <w:r>
        <w:t>, gdy ma to zastosowanie;</w:t>
      </w:r>
    </w:p>
    <w:p w14:paraId="78AEE361" w14:textId="77777777" w:rsidR="00CC42EF" w:rsidRDefault="00CC42EF" w:rsidP="00466559">
      <w:pPr>
        <w:pStyle w:val="Akapitzlist"/>
        <w:numPr>
          <w:ilvl w:val="0"/>
          <w:numId w:val="16"/>
        </w:numPr>
      </w:pPr>
      <w:r>
        <w:t>zrealizował lub realizuje zobowiązania określone w umowie o przyznaniu pomocy.</w:t>
      </w:r>
    </w:p>
    <w:p w14:paraId="4661808A" w14:textId="13628662" w:rsidR="00CC42EF" w:rsidRDefault="00CC42EF" w:rsidP="00CC42EF">
      <w:r>
        <w:t>Dodatkowo pomoc w zakresie poprawy dostępu do małej infrastruktury publicznej wypłaca się, jeżeli:</w:t>
      </w:r>
    </w:p>
    <w:p w14:paraId="258D0640" w14:textId="77777777" w:rsidR="00CC42EF" w:rsidRDefault="00CC42EF" w:rsidP="00466559">
      <w:pPr>
        <w:pStyle w:val="Akapitzlist"/>
        <w:numPr>
          <w:ilvl w:val="0"/>
          <w:numId w:val="19"/>
        </w:numPr>
      </w:pPr>
      <w:r>
        <w:t>operacja służy zaspokajaniu potrzeb społeczności lokalnej,</w:t>
      </w:r>
    </w:p>
    <w:p w14:paraId="2E35901B" w14:textId="77777777" w:rsidR="00CC42EF" w:rsidRDefault="00CC42EF" w:rsidP="00466559">
      <w:pPr>
        <w:pStyle w:val="Akapitzlist"/>
        <w:numPr>
          <w:ilvl w:val="0"/>
          <w:numId w:val="19"/>
        </w:numPr>
      </w:pPr>
      <w:r>
        <w:t>infrastruktura będąca efektem tej inwestycji jest ogólnodostępna i niekomercyjna lub obejmuje obiekty użyteczności publicznej,</w:t>
      </w:r>
    </w:p>
    <w:p w14:paraId="57E620E4" w14:textId="77777777" w:rsidR="00CC42EF" w:rsidRDefault="00CC42EF" w:rsidP="00466559">
      <w:pPr>
        <w:pStyle w:val="Akapitzlist"/>
        <w:numPr>
          <w:ilvl w:val="0"/>
          <w:numId w:val="19"/>
        </w:numPr>
      </w:pPr>
      <w:r>
        <w:t>koszty całkowite operacji nie przekroczyły 1 mln euro.</w:t>
      </w:r>
    </w:p>
    <w:p w14:paraId="41D9A67F" w14:textId="4D245A4E" w:rsidR="00CC42EF" w:rsidRDefault="00CC42EF" w:rsidP="00CC42EF">
      <w:r>
        <w:t>Umowa o przyznaniu pomocy określa zabezpieczenie należytego wykonania zobowiązań określonych w umowie o przyznaniu pomocy, jeśli jest ono wymagane. Zabezpieczenie może być wniesione w formie weksla niezupełnego (in blanco) składanego wraz z deklaracją wekslową.</w:t>
      </w:r>
    </w:p>
    <w:p w14:paraId="55D52FAD" w14:textId="77777777" w:rsidR="00CC42EF" w:rsidRPr="00C522EB" w:rsidRDefault="00CC42EF" w:rsidP="00CC42EF">
      <w:pPr>
        <w:rPr>
          <w:b/>
          <w:bCs/>
          <w:sz w:val="30"/>
          <w:szCs w:val="30"/>
          <w:u w:val="single"/>
        </w:rPr>
      </w:pPr>
      <w:r w:rsidRPr="00C522EB">
        <w:rPr>
          <w:b/>
          <w:bCs/>
          <w:sz w:val="30"/>
          <w:szCs w:val="30"/>
          <w:u w:val="single"/>
        </w:rPr>
        <w:t>Zobowiązania w okresie związania z celem</w:t>
      </w:r>
    </w:p>
    <w:p w14:paraId="62A8F6B4" w14:textId="60BD29DF" w:rsidR="00CC42EF" w:rsidRDefault="00CC42EF" w:rsidP="00CC42EF">
      <w:r>
        <w:t>Zobowiązania</w:t>
      </w:r>
      <w:r w:rsidR="005D1CBC">
        <w:t xml:space="preserve"> w okresie związania z celem</w:t>
      </w:r>
      <w:r>
        <w:t>, powinny być realizowane do dnia, w którym upłynie 5 lat od dnia wypłaty płatności końcowej.</w:t>
      </w:r>
    </w:p>
    <w:p w14:paraId="070D50C7" w14:textId="77777777" w:rsidR="00CC42EF" w:rsidRDefault="00CC42EF" w:rsidP="00CC42EF">
      <w:r>
        <w:t>Dodatkowo w okresie związania z celem beneficjent zobowiązuje się do utrzymania zrealizowanej inwestycji co najmniej w okresie 5 lat od wypłaty pomocy.</w:t>
      </w:r>
    </w:p>
    <w:p w14:paraId="24E09FA9" w14:textId="77777777" w:rsidR="00CC42EF" w:rsidRDefault="00CC42EF" w:rsidP="00CC42EF"/>
    <w:p w14:paraId="30A04282" w14:textId="0235C467" w:rsidR="00CC42EF" w:rsidRDefault="00CC42EF" w:rsidP="00CC42EF"/>
    <w:sectPr w:rsidR="00CC42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BB49F" w14:textId="77777777" w:rsidR="007E23BB" w:rsidRDefault="007E23BB" w:rsidP="000A1EC5">
      <w:pPr>
        <w:spacing w:after="0" w:line="240" w:lineRule="auto"/>
      </w:pPr>
      <w:r>
        <w:separator/>
      </w:r>
    </w:p>
  </w:endnote>
  <w:endnote w:type="continuationSeparator" w:id="0">
    <w:p w14:paraId="11310A58" w14:textId="77777777" w:rsidR="007E23BB" w:rsidRDefault="007E23BB" w:rsidP="000A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D913A" w14:textId="77777777" w:rsidR="000A1EC5" w:rsidRDefault="000A1E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68FF1" w14:textId="77777777" w:rsidR="000A1EC5" w:rsidRDefault="000A1E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38D28" w14:textId="77777777" w:rsidR="000A1EC5" w:rsidRDefault="000A1E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C4B28" w14:textId="77777777" w:rsidR="007E23BB" w:rsidRDefault="007E23BB" w:rsidP="000A1EC5">
      <w:pPr>
        <w:spacing w:after="0" w:line="240" w:lineRule="auto"/>
      </w:pPr>
      <w:r>
        <w:separator/>
      </w:r>
    </w:p>
  </w:footnote>
  <w:footnote w:type="continuationSeparator" w:id="0">
    <w:p w14:paraId="4685E16D" w14:textId="77777777" w:rsidR="007E23BB" w:rsidRDefault="007E23BB" w:rsidP="000A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81347" w14:textId="64F2AE8B" w:rsidR="000A1EC5" w:rsidRDefault="00000000">
    <w:pPr>
      <w:pStyle w:val="Nagwek"/>
    </w:pPr>
    <w:r>
      <w:rPr>
        <w:noProof/>
      </w:rPr>
      <w:pict w14:anchorId="4D1EFD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53.1pt;height:391.9pt;z-index:-251657216;mso-position-horizontal:center;mso-position-horizontal-relative:margin;mso-position-vertical:center;mso-position-vertical-relative:margin" o:allowincell="f">
          <v:imagedata r:id="rId1" o:title="nowe logo LGD Podkow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B2C75" w14:textId="38E7BDD9" w:rsidR="000A1EC5" w:rsidRDefault="00000000">
    <w:pPr>
      <w:pStyle w:val="Nagwek"/>
    </w:pPr>
    <w:r>
      <w:rPr>
        <w:noProof/>
      </w:rPr>
      <w:pict w14:anchorId="2D6B0F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53.1pt;height:391.9pt;z-index:-251656192;mso-position-horizontal:center;mso-position-horizontal-relative:margin;mso-position-vertical:center;mso-position-vertical-relative:margin" o:allowincell="f">
          <v:imagedata r:id="rId1" o:title="nowe logo LGD Podkow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236DD" w14:textId="426B3736" w:rsidR="000A1EC5" w:rsidRDefault="00000000">
    <w:pPr>
      <w:pStyle w:val="Nagwek"/>
    </w:pPr>
    <w:r>
      <w:rPr>
        <w:noProof/>
      </w:rPr>
      <w:pict w14:anchorId="2631F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53.1pt;height:391.9pt;z-index:-251658240;mso-position-horizontal:center;mso-position-horizontal-relative:margin;mso-position-vertical:center;mso-position-vertical-relative:margin" o:allowincell="f">
          <v:imagedata r:id="rId1" o:title="nowe logo LGD Podkow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625F"/>
    <w:multiLevelType w:val="multilevel"/>
    <w:tmpl w:val="2708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409CA"/>
    <w:multiLevelType w:val="multilevel"/>
    <w:tmpl w:val="70CE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3F417B"/>
    <w:multiLevelType w:val="hybridMultilevel"/>
    <w:tmpl w:val="79A64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D14DD"/>
    <w:multiLevelType w:val="multilevel"/>
    <w:tmpl w:val="22E6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0A4BB2"/>
    <w:multiLevelType w:val="hybridMultilevel"/>
    <w:tmpl w:val="11D8F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56E8D"/>
    <w:multiLevelType w:val="hybridMultilevel"/>
    <w:tmpl w:val="60866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B4E5F"/>
    <w:multiLevelType w:val="multilevel"/>
    <w:tmpl w:val="A86E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9F0F8E"/>
    <w:multiLevelType w:val="multilevel"/>
    <w:tmpl w:val="D0C0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D915C8"/>
    <w:multiLevelType w:val="multilevel"/>
    <w:tmpl w:val="8430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E60881"/>
    <w:multiLevelType w:val="multilevel"/>
    <w:tmpl w:val="E60C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3B08B4"/>
    <w:multiLevelType w:val="hybridMultilevel"/>
    <w:tmpl w:val="42E23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77A9D"/>
    <w:multiLevelType w:val="multilevel"/>
    <w:tmpl w:val="4D8A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D3644A"/>
    <w:multiLevelType w:val="hybridMultilevel"/>
    <w:tmpl w:val="CC0CA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138C6"/>
    <w:multiLevelType w:val="hybridMultilevel"/>
    <w:tmpl w:val="6BF03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72168"/>
    <w:multiLevelType w:val="hybridMultilevel"/>
    <w:tmpl w:val="DB804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53ABE"/>
    <w:multiLevelType w:val="hybridMultilevel"/>
    <w:tmpl w:val="B0CE6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57C0D"/>
    <w:multiLevelType w:val="multilevel"/>
    <w:tmpl w:val="8E9E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CEC41C5"/>
    <w:multiLevelType w:val="hybridMultilevel"/>
    <w:tmpl w:val="3A9E4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E3A61"/>
    <w:multiLevelType w:val="hybridMultilevel"/>
    <w:tmpl w:val="1B34F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D2415"/>
    <w:multiLevelType w:val="multilevel"/>
    <w:tmpl w:val="E956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7274474">
    <w:abstractNumId w:val="19"/>
  </w:num>
  <w:num w:numId="2" w16cid:durableId="1973976906">
    <w:abstractNumId w:val="1"/>
  </w:num>
  <w:num w:numId="3" w16cid:durableId="1196889394">
    <w:abstractNumId w:val="0"/>
  </w:num>
  <w:num w:numId="4" w16cid:durableId="1475827194">
    <w:abstractNumId w:val="16"/>
  </w:num>
  <w:num w:numId="5" w16cid:durableId="2006009870">
    <w:abstractNumId w:val="8"/>
  </w:num>
  <w:num w:numId="6" w16cid:durableId="1214080771">
    <w:abstractNumId w:val="3"/>
  </w:num>
  <w:num w:numId="7" w16cid:durableId="282078000">
    <w:abstractNumId w:val="11"/>
  </w:num>
  <w:num w:numId="8" w16cid:durableId="1162966431">
    <w:abstractNumId w:val="6"/>
  </w:num>
  <w:num w:numId="9" w16cid:durableId="2071266271">
    <w:abstractNumId w:val="9"/>
  </w:num>
  <w:num w:numId="10" w16cid:durableId="325088547">
    <w:abstractNumId w:val="7"/>
  </w:num>
  <w:num w:numId="11" w16cid:durableId="223640318">
    <w:abstractNumId w:val="13"/>
  </w:num>
  <w:num w:numId="12" w16cid:durableId="1385638743">
    <w:abstractNumId w:val="18"/>
  </w:num>
  <w:num w:numId="13" w16cid:durableId="31614242">
    <w:abstractNumId w:val="5"/>
  </w:num>
  <w:num w:numId="14" w16cid:durableId="1833060841">
    <w:abstractNumId w:val="12"/>
  </w:num>
  <w:num w:numId="15" w16cid:durableId="1882130672">
    <w:abstractNumId w:val="4"/>
  </w:num>
  <w:num w:numId="16" w16cid:durableId="1140851712">
    <w:abstractNumId w:val="10"/>
  </w:num>
  <w:num w:numId="17" w16cid:durableId="1384448842">
    <w:abstractNumId w:val="17"/>
  </w:num>
  <w:num w:numId="18" w16cid:durableId="105395708">
    <w:abstractNumId w:val="14"/>
  </w:num>
  <w:num w:numId="19" w16cid:durableId="1018503761">
    <w:abstractNumId w:val="15"/>
  </w:num>
  <w:num w:numId="20" w16cid:durableId="1947805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9E"/>
    <w:rsid w:val="000A1EC5"/>
    <w:rsid w:val="00113785"/>
    <w:rsid w:val="00322FB7"/>
    <w:rsid w:val="0040729E"/>
    <w:rsid w:val="00466559"/>
    <w:rsid w:val="005160AF"/>
    <w:rsid w:val="005D1CBC"/>
    <w:rsid w:val="006C054A"/>
    <w:rsid w:val="00751DA0"/>
    <w:rsid w:val="007E23BB"/>
    <w:rsid w:val="007F35FF"/>
    <w:rsid w:val="00977001"/>
    <w:rsid w:val="00A673E6"/>
    <w:rsid w:val="00C522EB"/>
    <w:rsid w:val="00CC42EF"/>
    <w:rsid w:val="00E960C5"/>
    <w:rsid w:val="00F0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0CF3B"/>
  <w15:chartTrackingRefBased/>
  <w15:docId w15:val="{071F95BC-BDE9-4C10-A9EE-FFD183B7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5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1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EC5"/>
  </w:style>
  <w:style w:type="paragraph" w:styleId="Stopka">
    <w:name w:val="footer"/>
    <w:basedOn w:val="Normalny"/>
    <w:link w:val="StopkaZnak"/>
    <w:uiPriority w:val="99"/>
    <w:unhideWhenUsed/>
    <w:rsid w:val="000A1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72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184751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233899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251582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B9581-BF40-4187-8558-BBEE9E43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1052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Maj-Przybyła</dc:creator>
  <cp:keywords/>
  <dc:description/>
  <cp:lastModifiedBy>Kinga Maj-Przybyła</cp:lastModifiedBy>
  <cp:revision>5</cp:revision>
  <dcterms:created xsi:type="dcterms:W3CDTF">2025-01-08T12:12:00Z</dcterms:created>
  <dcterms:modified xsi:type="dcterms:W3CDTF">2025-01-15T12:55:00Z</dcterms:modified>
</cp:coreProperties>
</file>