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B98E" w14:textId="40830F70" w:rsidR="0052611F" w:rsidRDefault="006C2E45" w:rsidP="006C2E45">
      <w:pPr>
        <w:jc w:val="center"/>
        <w:rPr>
          <w:rFonts w:eastAsia="Times New Roman" w:cstheme="minorHAnsi"/>
          <w:b/>
          <w:bCs/>
          <w:color w:val="000000"/>
          <w:kern w:val="36"/>
          <w:sz w:val="40"/>
          <w:szCs w:val="40"/>
          <w:lang w:eastAsia="pl-PL"/>
          <w14:ligatures w14:val="none"/>
        </w:rPr>
      </w:pPr>
      <w:r>
        <w:rPr>
          <w:noProof/>
        </w:rPr>
        <w:drawing>
          <wp:inline distT="0" distB="0" distL="0" distR="0" wp14:anchorId="7EF421A9" wp14:editId="163DC298">
            <wp:extent cx="5370576" cy="749808"/>
            <wp:effectExtent l="0" t="0" r="1905" b="0"/>
            <wp:docPr id="2025477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6124" name="Obraz 12200761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0576" cy="749808"/>
                    </a:xfrm>
                    <a:prstGeom prst="rect">
                      <a:avLst/>
                    </a:prstGeom>
                  </pic:spPr>
                </pic:pic>
              </a:graphicData>
            </a:graphic>
          </wp:inline>
        </w:drawing>
      </w:r>
    </w:p>
    <w:p w14:paraId="6F7963DD" w14:textId="77777777" w:rsidR="006C2E45" w:rsidRDefault="006C2E45" w:rsidP="006C2E45">
      <w:pPr>
        <w:jc w:val="center"/>
        <w:rPr>
          <w:rFonts w:eastAsia="Times New Roman" w:cstheme="minorHAnsi"/>
          <w:b/>
          <w:bCs/>
          <w:color w:val="000000"/>
          <w:kern w:val="36"/>
          <w:sz w:val="40"/>
          <w:szCs w:val="40"/>
          <w:lang w:eastAsia="pl-PL"/>
          <w14:ligatures w14:val="none"/>
        </w:rPr>
      </w:pPr>
    </w:p>
    <w:p w14:paraId="5B4D47A2" w14:textId="1FBB6D74" w:rsidR="008B3FFC" w:rsidRPr="008B3FFC" w:rsidRDefault="008B3FFC" w:rsidP="008B3FFC">
      <w:pPr>
        <w:rPr>
          <w:rFonts w:eastAsia="Times New Roman" w:cstheme="minorHAnsi"/>
          <w:b/>
          <w:bCs/>
          <w:color w:val="000000"/>
          <w:kern w:val="36"/>
          <w:sz w:val="40"/>
          <w:szCs w:val="40"/>
          <w:lang w:eastAsia="pl-PL"/>
          <w14:ligatures w14:val="none"/>
        </w:rPr>
      </w:pPr>
      <w:r w:rsidRPr="008B3FFC">
        <w:rPr>
          <w:rFonts w:eastAsia="Times New Roman" w:cstheme="minorHAnsi"/>
          <w:b/>
          <w:bCs/>
          <w:color w:val="000000"/>
          <w:kern w:val="36"/>
          <w:sz w:val="40"/>
          <w:szCs w:val="40"/>
          <w:lang w:eastAsia="pl-PL"/>
          <w14:ligatures w14:val="none"/>
        </w:rPr>
        <w:t>Zasady kwalifikowalności kosztów PS WPR</w:t>
      </w:r>
    </w:p>
    <w:p w14:paraId="3EC1F68E" w14:textId="77777777" w:rsidR="008B3FFC" w:rsidRPr="008B3FFC" w:rsidRDefault="008B3FFC" w:rsidP="008B3FFC">
      <w:pPr>
        <w:rPr>
          <w:rFonts w:eastAsia="Times New Roman" w:cstheme="minorHAnsi"/>
          <w:b/>
          <w:bCs/>
          <w:color w:val="000000"/>
          <w:kern w:val="36"/>
          <w:sz w:val="24"/>
          <w:szCs w:val="24"/>
          <w:u w:val="single"/>
          <w:lang w:eastAsia="pl-PL"/>
          <w14:ligatures w14:val="none"/>
        </w:rPr>
      </w:pPr>
      <w:r w:rsidRPr="008B3FFC">
        <w:rPr>
          <w:rFonts w:eastAsia="Times New Roman" w:cstheme="minorHAnsi"/>
          <w:b/>
          <w:bCs/>
          <w:color w:val="000000"/>
          <w:kern w:val="36"/>
          <w:sz w:val="24"/>
          <w:szCs w:val="24"/>
          <w:u w:val="single"/>
          <w:lang w:eastAsia="pl-PL"/>
          <w14:ligatures w14:val="none"/>
        </w:rPr>
        <w:t>Ogólne zasady kwalifikowalności</w:t>
      </w:r>
    </w:p>
    <w:p w14:paraId="321C8439"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 xml:space="preserve">W zakresie inwestycji realizowanych w ramach </w:t>
      </w:r>
      <w:r w:rsidRPr="008B3FFC">
        <w:rPr>
          <w:rFonts w:eastAsia="Times New Roman" w:cstheme="minorHAnsi"/>
          <w:i/>
          <w:iCs/>
          <w:color w:val="000000"/>
          <w:kern w:val="36"/>
          <w:sz w:val="24"/>
          <w:szCs w:val="24"/>
          <w:lang w:eastAsia="pl-PL"/>
          <w14:ligatures w14:val="none"/>
        </w:rPr>
        <w:t>art. 73 i art. 77 rozporządzenia 2021/2115</w:t>
      </w:r>
      <w:r w:rsidRPr="008B3FFC">
        <w:rPr>
          <w:rFonts w:eastAsia="Times New Roman" w:cstheme="minorHAnsi"/>
          <w:color w:val="000000"/>
          <w:kern w:val="36"/>
          <w:sz w:val="24"/>
          <w:szCs w:val="24"/>
          <w:lang w:eastAsia="pl-PL"/>
          <w14:ligatures w14:val="none"/>
        </w:rPr>
        <w:t xml:space="preserve"> finansowanych w formie dotacji, do </w:t>
      </w:r>
      <w:r w:rsidRPr="008B3FFC">
        <w:rPr>
          <w:rFonts w:eastAsia="Times New Roman" w:cstheme="minorHAnsi"/>
          <w:color w:val="000000"/>
          <w:kern w:val="36"/>
          <w:sz w:val="24"/>
          <w:szCs w:val="24"/>
          <w:u w:val="single"/>
          <w:lang w:eastAsia="pl-PL"/>
          <w14:ligatures w14:val="none"/>
        </w:rPr>
        <w:t>kosztów kwalifikowalnych</w:t>
      </w:r>
      <w:r w:rsidRPr="008B3FFC">
        <w:rPr>
          <w:rFonts w:eastAsia="Times New Roman" w:cstheme="minorHAnsi"/>
          <w:color w:val="000000"/>
          <w:kern w:val="36"/>
          <w:sz w:val="24"/>
          <w:szCs w:val="24"/>
          <w:lang w:eastAsia="pl-PL"/>
          <w14:ligatures w14:val="none"/>
        </w:rPr>
        <w:t xml:space="preserve"> zalicza się w szczególności koszty:</w:t>
      </w:r>
    </w:p>
    <w:p w14:paraId="0B0941FF" w14:textId="77777777" w:rsidR="008B3FFC" w:rsidRPr="008B3FFC" w:rsidRDefault="008B3FFC" w:rsidP="008B3FFC">
      <w:pPr>
        <w:pStyle w:val="Akapitzlist"/>
        <w:numPr>
          <w:ilvl w:val="0"/>
          <w:numId w:val="6"/>
        </w:num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transportu do miejsca realizacji operacji materiałów służących realizacji operacji oraz maszyn i urządzeń objętych operacją, a także koszty montażu;</w:t>
      </w:r>
    </w:p>
    <w:p w14:paraId="7D358B74" w14:textId="77777777" w:rsidR="008B3FFC" w:rsidRPr="008B3FFC" w:rsidRDefault="008B3FFC" w:rsidP="008B3FFC">
      <w:pPr>
        <w:pStyle w:val="Akapitzlist"/>
        <w:numPr>
          <w:ilvl w:val="0"/>
          <w:numId w:val="6"/>
        </w:num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rozbiórki i utylizacji materiałów szkodliwych pochodzących z rozbiórki pod warunkiem, że rozbiórka jest niezbędna w celu realizacji operacji.</w:t>
      </w:r>
    </w:p>
    <w:p w14:paraId="0A33EDB6"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Do kosztów ogólnych zalicza się w szczególności koszty:</w:t>
      </w:r>
    </w:p>
    <w:p w14:paraId="0533094E" w14:textId="77777777" w:rsidR="008B3FFC" w:rsidRPr="008B3FFC" w:rsidRDefault="008B3FFC" w:rsidP="008B3FFC">
      <w:pPr>
        <w:pStyle w:val="Akapitzlist"/>
        <w:numPr>
          <w:ilvl w:val="0"/>
          <w:numId w:val="7"/>
        </w:num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przygotowania dokumentacji technicznej operacji, w tym kosztorysów inwestorskich, projektów budowlanych, wypisów i wyrysów z ewidencji gruntów i budynków, projektu OZE (odnawialne źródła energii) i termomodernizacji oraz audytu energetycznego;</w:t>
      </w:r>
    </w:p>
    <w:p w14:paraId="11F8B2EE" w14:textId="77777777" w:rsidR="008B3FFC" w:rsidRPr="008B3FFC" w:rsidRDefault="008B3FFC" w:rsidP="008B3FFC">
      <w:pPr>
        <w:pStyle w:val="Akapitzlist"/>
        <w:numPr>
          <w:ilvl w:val="0"/>
          <w:numId w:val="7"/>
        </w:num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sprawowania nadzoru inwestorskiego lub autorskiego;</w:t>
      </w:r>
    </w:p>
    <w:p w14:paraId="0CF513C7" w14:textId="77777777" w:rsidR="008B3FFC" w:rsidRPr="00087764" w:rsidRDefault="008B3FFC" w:rsidP="00087764">
      <w:pPr>
        <w:pStyle w:val="Akapitzlist"/>
        <w:numPr>
          <w:ilvl w:val="0"/>
          <w:numId w:val="7"/>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związane z kierowaniem robotami budowlanymi.</w:t>
      </w:r>
    </w:p>
    <w:p w14:paraId="31047F6D"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W przypadku gdy pomoc dotyczy zakupu nowych pojazdów, nowym pojazdem, zgodnie z przepisami prawa o ruchu drogowym, jest to pojazd fabrycznie nowy, który nie był zarejestrowany.</w:t>
      </w:r>
    </w:p>
    <w:p w14:paraId="1499530A"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Nie są wspierane operacje/inwestycje, które mają charakter odtworzeniowy, z wyłączeniem operacji dotyczących dziedzictwa kulturowego. Inwestycja odtworzeniowa polega na zastąpieniu istniejącego budynku lub rzeczy ruchomej (np. maszyny, urządzenia, wyposażenia, budowli, obiektu małej architektury) lub ich części nowym odtworzonym budynkiem lub rzeczą ruchomą, bez zwiększenia zdolności produkcyjnych o co najmniej 25% lub gruntownej zmiany charakteru produkcji czy zastosowanej technologii.</w:t>
      </w:r>
    </w:p>
    <w:p w14:paraId="59136353" w14:textId="77777777" w:rsidR="008B3FFC" w:rsidRPr="00087764" w:rsidRDefault="008B3FFC" w:rsidP="008B3FFC">
      <w:pPr>
        <w:rPr>
          <w:rFonts w:eastAsia="Times New Roman" w:cstheme="minorHAnsi"/>
          <w:b/>
          <w:bCs/>
          <w:color w:val="000000"/>
          <w:kern w:val="36"/>
          <w:sz w:val="24"/>
          <w:szCs w:val="24"/>
          <w:u w:val="single"/>
          <w:lang w:eastAsia="pl-PL"/>
          <w14:ligatures w14:val="none"/>
        </w:rPr>
      </w:pPr>
      <w:r w:rsidRPr="00087764">
        <w:rPr>
          <w:rFonts w:eastAsia="Times New Roman" w:cstheme="minorHAnsi"/>
          <w:b/>
          <w:bCs/>
          <w:color w:val="000000"/>
          <w:kern w:val="36"/>
          <w:sz w:val="24"/>
          <w:szCs w:val="24"/>
          <w:u w:val="single"/>
          <w:lang w:eastAsia="pl-PL"/>
          <w14:ligatures w14:val="none"/>
        </w:rPr>
        <w:t>Koszty niekwalifikowalne</w:t>
      </w:r>
    </w:p>
    <w:p w14:paraId="57D645EF"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 xml:space="preserve">W zakresie inwestycji realizowanych w ramach </w:t>
      </w:r>
      <w:r w:rsidRPr="00087764">
        <w:rPr>
          <w:rFonts w:eastAsia="Times New Roman" w:cstheme="minorHAnsi"/>
          <w:i/>
          <w:iCs/>
          <w:color w:val="000000"/>
          <w:kern w:val="36"/>
          <w:sz w:val="24"/>
          <w:szCs w:val="24"/>
          <w:lang w:eastAsia="pl-PL"/>
          <w14:ligatures w14:val="none"/>
        </w:rPr>
        <w:t>art. 73 i art. 77 rozporządzenia 2021/2015</w:t>
      </w:r>
      <w:r w:rsidRPr="008B3FFC">
        <w:rPr>
          <w:rFonts w:eastAsia="Times New Roman" w:cstheme="minorHAnsi"/>
          <w:color w:val="000000"/>
          <w:kern w:val="36"/>
          <w:sz w:val="24"/>
          <w:szCs w:val="24"/>
          <w:lang w:eastAsia="pl-PL"/>
          <w14:ligatures w14:val="none"/>
        </w:rPr>
        <w:t>, finansowanych w formie dotacji, za inwestycje niekwalifikujące się do przyznania pomocy uznaje się w szczególności:</w:t>
      </w:r>
    </w:p>
    <w:p w14:paraId="5245D969" w14:textId="77777777" w:rsidR="008B3FFC" w:rsidRPr="00087764" w:rsidRDefault="008B3FFC" w:rsidP="00087764">
      <w:pPr>
        <w:pStyle w:val="Akapitzlist"/>
        <w:numPr>
          <w:ilvl w:val="0"/>
          <w:numId w:val="8"/>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koszty poniesione przed dniem, w którym został złożony wniosek o przyznanie pomocy, a w przypadku kosztów ogólnych – przed dnia 1 stycznia 2023 r.;</w:t>
      </w:r>
    </w:p>
    <w:p w14:paraId="5CB26716" w14:textId="77777777" w:rsidR="008B3FFC" w:rsidRPr="00087764" w:rsidRDefault="008B3FFC" w:rsidP="00087764">
      <w:pPr>
        <w:pStyle w:val="Akapitzlist"/>
        <w:numPr>
          <w:ilvl w:val="0"/>
          <w:numId w:val="8"/>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koszty ogólne związane z operacją w części przekraczającej 10% pozostałych kosztów kwalifikowalnych;</w:t>
      </w:r>
    </w:p>
    <w:p w14:paraId="43299DF2" w14:textId="77777777" w:rsidR="008B3FFC" w:rsidRPr="00087764" w:rsidRDefault="008B3FFC" w:rsidP="00087764">
      <w:pPr>
        <w:pStyle w:val="Akapitzlist"/>
        <w:numPr>
          <w:ilvl w:val="0"/>
          <w:numId w:val="8"/>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koszty remontu budynków lub budowli, jeśli nie jest on połączony z ich modernizacją;</w:t>
      </w:r>
    </w:p>
    <w:p w14:paraId="2E9D166C" w14:textId="77777777" w:rsidR="008B3FFC" w:rsidRPr="00087764" w:rsidRDefault="008B3FFC" w:rsidP="00087764">
      <w:pPr>
        <w:pStyle w:val="Akapitzlist"/>
        <w:numPr>
          <w:ilvl w:val="0"/>
          <w:numId w:val="8"/>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koszty zakupu nieruchomości;</w:t>
      </w:r>
    </w:p>
    <w:p w14:paraId="5B71E7FA" w14:textId="77777777" w:rsidR="008B3FFC" w:rsidRPr="00087764" w:rsidRDefault="008B3FFC" w:rsidP="00087764">
      <w:pPr>
        <w:pStyle w:val="Akapitzlist"/>
        <w:numPr>
          <w:ilvl w:val="0"/>
          <w:numId w:val="8"/>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 xml:space="preserve">koszty zakładania sadów i plantacji wieloletnich oraz wymiany w nich </w:t>
      </w:r>
      <w:proofErr w:type="spellStart"/>
      <w:r w:rsidRPr="00087764">
        <w:rPr>
          <w:rFonts w:eastAsia="Times New Roman" w:cstheme="minorHAnsi"/>
          <w:color w:val="000000"/>
          <w:kern w:val="36"/>
          <w:sz w:val="24"/>
          <w:szCs w:val="24"/>
          <w:lang w:eastAsia="pl-PL"/>
          <w14:ligatures w14:val="none"/>
        </w:rPr>
        <w:t>nasadzeń</w:t>
      </w:r>
      <w:proofErr w:type="spellEnd"/>
      <w:r w:rsidRPr="00087764">
        <w:rPr>
          <w:rFonts w:eastAsia="Times New Roman" w:cstheme="minorHAnsi"/>
          <w:color w:val="000000"/>
          <w:kern w:val="36"/>
          <w:sz w:val="24"/>
          <w:szCs w:val="24"/>
          <w:lang w:eastAsia="pl-PL"/>
          <w14:ligatures w14:val="none"/>
        </w:rPr>
        <w:t>;</w:t>
      </w:r>
    </w:p>
    <w:p w14:paraId="3BDD4B3F" w14:textId="77777777" w:rsidR="008B3FFC" w:rsidRPr="00D42425" w:rsidRDefault="008B3FFC" w:rsidP="00D42425">
      <w:pPr>
        <w:pStyle w:val="Akapitzlist"/>
        <w:numPr>
          <w:ilvl w:val="0"/>
          <w:numId w:val="8"/>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lastRenderedPageBreak/>
        <w:t>koszty leasingu zwrotnego oraz dodatkowe koszty związane z umową leasingu, takie jak marża finansującego i ubezpieczenie;</w:t>
      </w:r>
    </w:p>
    <w:p w14:paraId="339C792B" w14:textId="77777777" w:rsidR="008B3FFC" w:rsidRPr="00D42425" w:rsidRDefault="008B3FFC" w:rsidP="00D42425">
      <w:pPr>
        <w:pStyle w:val="Akapitzlist"/>
        <w:numPr>
          <w:ilvl w:val="0"/>
          <w:numId w:val="8"/>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podatek od wartości dodanej (VAT):</w:t>
      </w:r>
    </w:p>
    <w:p w14:paraId="14E132D3"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 xml:space="preserve">- w przypadku wnioskodawcy będącego rolnikiem w rozumieniu </w:t>
      </w:r>
      <w:r w:rsidRPr="00D42425">
        <w:rPr>
          <w:rFonts w:eastAsia="Times New Roman" w:cstheme="minorHAnsi"/>
          <w:i/>
          <w:iCs/>
          <w:color w:val="000000"/>
          <w:kern w:val="36"/>
          <w:sz w:val="24"/>
          <w:szCs w:val="24"/>
          <w:lang w:eastAsia="pl-PL"/>
          <w14:ligatures w14:val="none"/>
        </w:rPr>
        <w:t>art. 3 pkt 1 rozporządzenia 2021/2115</w:t>
      </w:r>
      <w:r w:rsidRPr="008B3FFC">
        <w:rPr>
          <w:rFonts w:eastAsia="Times New Roman" w:cstheme="minorHAnsi"/>
          <w:color w:val="000000"/>
          <w:kern w:val="36"/>
          <w:sz w:val="24"/>
          <w:szCs w:val="24"/>
          <w:lang w:eastAsia="pl-PL"/>
          <w14:ligatures w14:val="none"/>
        </w:rPr>
        <w:t xml:space="preserve"> uznaje się, że VAT jest kosztem niekwalifikowalnym,</w:t>
      </w:r>
    </w:p>
    <w:p w14:paraId="1E679814"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 xml:space="preserve">- w przypadku wnioskodawcy innego niż w wskazany powyżej - VAT jest kosztem </w:t>
      </w:r>
      <w:proofErr w:type="spellStart"/>
      <w:r w:rsidRPr="008B3FFC">
        <w:rPr>
          <w:rFonts w:eastAsia="Times New Roman" w:cstheme="minorHAnsi"/>
          <w:color w:val="000000"/>
          <w:kern w:val="36"/>
          <w:sz w:val="24"/>
          <w:szCs w:val="24"/>
          <w:lang w:eastAsia="pl-PL"/>
          <w14:ligatures w14:val="none"/>
        </w:rPr>
        <w:t>niekwalifikowlanym</w:t>
      </w:r>
      <w:proofErr w:type="spellEnd"/>
      <w:r w:rsidRPr="008B3FFC">
        <w:rPr>
          <w:rFonts w:eastAsia="Times New Roman" w:cstheme="minorHAnsi"/>
          <w:color w:val="000000"/>
          <w:kern w:val="36"/>
          <w:sz w:val="24"/>
          <w:szCs w:val="24"/>
          <w:lang w:eastAsia="pl-PL"/>
          <w14:ligatures w14:val="none"/>
        </w:rPr>
        <w:t>, z wyjątkiem przypadków gdy nie podlega on odzyskaniu na podstawie krajowych przepisów o podatku VAT;</w:t>
      </w:r>
    </w:p>
    <w:p w14:paraId="0741FF6D"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 zakupu używanych maszyn, urządzeń, wyposażenia, w tym również ich instalacji, z wyłączeniem eksponatów w ramach operacji dotyczących dziedzictwa kulturowego;</w:t>
      </w:r>
    </w:p>
    <w:p w14:paraId="09F0A901"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 zakupu zwierząt, nasion i ich siewu oraz roślin jednorocznych i ich sadzenia;</w:t>
      </w:r>
    </w:p>
    <w:p w14:paraId="70904BE0"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koszty zakupu samochodów osobowych;</w:t>
      </w:r>
    </w:p>
    <w:p w14:paraId="6ABBB946"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koszty rozbudowy infrastruktury 5G i sieci światłowodowej;</w:t>
      </w:r>
    </w:p>
    <w:p w14:paraId="3EBF97A9"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koszty inwestycji w nawodnienia w gospodarstwie rolnym oraz związane z tym koszty budowy ujęć wody;</w:t>
      </w:r>
    </w:p>
    <w:p w14:paraId="5729F114"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koszty zakupu kotłów do spalania słomy;</w:t>
      </w:r>
    </w:p>
    <w:p w14:paraId="7F127F6D"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 xml:space="preserve">koszty inwestycji mających na celu dostosowanie do norm lub wymogów unijnych, z wyjątkiem inwestycji wspieranych na zasadach określonych </w:t>
      </w:r>
      <w:r w:rsidRPr="006C2E45">
        <w:rPr>
          <w:rFonts w:eastAsia="Times New Roman" w:cstheme="minorHAnsi"/>
          <w:i/>
          <w:iCs/>
          <w:color w:val="000000"/>
          <w:kern w:val="36"/>
          <w:sz w:val="24"/>
          <w:szCs w:val="24"/>
          <w:lang w:eastAsia="pl-PL"/>
          <w14:ligatures w14:val="none"/>
        </w:rPr>
        <w:t>w art. 73 ust. 5 rozporządzenia 2021/2115;</w:t>
      </w:r>
    </w:p>
    <w:p w14:paraId="03AF7FC6" w14:textId="77777777" w:rsidR="008B3FFC" w:rsidRPr="00D42425" w:rsidRDefault="008B3FFC"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koszty sporządzania wniosku o przyznanie pomocy oraz wniosku o płatność.</w:t>
      </w:r>
    </w:p>
    <w:p w14:paraId="7EC5761D" w14:textId="5A241B58" w:rsidR="008B3FFC" w:rsidRPr="00D42425" w:rsidRDefault="00D42425" w:rsidP="00D42425">
      <w:pPr>
        <w:pStyle w:val="Akapitzlist"/>
        <w:numPr>
          <w:ilvl w:val="0"/>
          <w:numId w:val="11"/>
        </w:numPr>
        <w:rPr>
          <w:rFonts w:eastAsia="Times New Roman" w:cstheme="minorHAnsi"/>
          <w:color w:val="000000"/>
          <w:kern w:val="36"/>
          <w:sz w:val="24"/>
          <w:szCs w:val="24"/>
          <w:lang w:eastAsia="pl-PL"/>
          <w14:ligatures w14:val="none"/>
        </w:rPr>
      </w:pPr>
      <w:r w:rsidRPr="00D42425">
        <w:rPr>
          <w:rFonts w:eastAsia="Times New Roman" w:cstheme="minorHAnsi"/>
          <w:color w:val="000000"/>
          <w:kern w:val="36"/>
          <w:sz w:val="24"/>
          <w:szCs w:val="24"/>
          <w:lang w:eastAsia="pl-PL"/>
          <w14:ligatures w14:val="none"/>
        </w:rPr>
        <w:t>w</w:t>
      </w:r>
      <w:r w:rsidR="008B3FFC" w:rsidRPr="00D42425">
        <w:rPr>
          <w:rFonts w:eastAsia="Times New Roman" w:cstheme="minorHAnsi"/>
          <w:color w:val="000000"/>
          <w:kern w:val="36"/>
          <w:sz w:val="24"/>
          <w:szCs w:val="24"/>
          <w:lang w:eastAsia="pl-PL"/>
          <w14:ligatures w14:val="none"/>
        </w:rPr>
        <w:t>kłady niepieniężne polegające na wniesieniu nieruchomości, urządzeń, materiałów (surowców), wartości niematerialnych i prawnych, ekspertyz lub nieodpłatnej pracy własnej, w tym wykonywanej przez wolontariuszy na podstawie ustawy z dnia 24 kwietnia 2003 r. o działalności pożytku publicznego i o wolontariacie lub nieodpłatnej pracy społecznej członków stowarzyszenia wykonywanej na podstawie ustawy z dnia 7 kwietnia 1989 r. Prawo o stowarzyszeniach - ze składników majątku beneficjenta lub majątku innych podmiotów.</w:t>
      </w:r>
    </w:p>
    <w:p w14:paraId="785136A9"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Podatek VAT może być kwalifikowalny, gdy brak jest prawnej możliwości odzyskania podatku VAT zgodnie z przepisami prawa krajowego. Oznacza to, że zapłacony podatek VAT może być uznany za koszt kwalifikowalny wyłącznie wówczas, gdy beneficjentowi zgodnie z obowiązującym prawodawstwem krajowym nie przysługuje prawo do obniżenia kwoty podatku należnego o kwotę podatku naliczonego lub do ubiegania się o zwrot podatku VAT. Posiadanie wyżej wymienionego prawa (potencjalnej prawnej możliwości) wyklucza uznanie wydatku za kwalifikowalny, nawet jeśli faktycznie zwrot nie nastąpił, np. ze względu na niepodjęcie przez podmiot czynności zamierzających do realizacji tego prawa.</w:t>
      </w:r>
    </w:p>
    <w:p w14:paraId="5EAAE29C"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Sprawdzenie statusu podatnika VAT powinno być przeprowadzone podczas weryfikacji wniosku o płatność w oparciu o udostępnioną przez Ministerstwo Finansów bazę podatników VAT. Obowiązek dostarczenia interpretacji indywidualnej dotyczy tylko podmiotów, które będą występować w ww. bazie, a do kosztów kwalifikowalnych operacji włączyły podatek VAT.  Ww. interpretacja wiąże się z uzyskaniem informacji, czy podmiot ma możliwość odliczenia podatku VAT w związku z działalnością, na którą otrzyma wsparcie.</w:t>
      </w:r>
    </w:p>
    <w:p w14:paraId="5CC46631" w14:textId="77777777" w:rsidR="008B3FFC" w:rsidRPr="00087764" w:rsidRDefault="008B3FFC" w:rsidP="008B3FFC">
      <w:pPr>
        <w:rPr>
          <w:rFonts w:eastAsia="Times New Roman" w:cstheme="minorHAnsi"/>
          <w:b/>
          <w:bCs/>
          <w:color w:val="000000"/>
          <w:kern w:val="36"/>
          <w:sz w:val="24"/>
          <w:szCs w:val="24"/>
          <w:u w:val="single"/>
          <w:lang w:eastAsia="pl-PL"/>
          <w14:ligatures w14:val="none"/>
        </w:rPr>
      </w:pPr>
      <w:r w:rsidRPr="00087764">
        <w:rPr>
          <w:rFonts w:eastAsia="Times New Roman" w:cstheme="minorHAnsi"/>
          <w:b/>
          <w:bCs/>
          <w:color w:val="000000"/>
          <w:kern w:val="36"/>
          <w:sz w:val="24"/>
          <w:szCs w:val="24"/>
          <w:u w:val="single"/>
          <w:lang w:eastAsia="pl-PL"/>
          <w14:ligatures w14:val="none"/>
        </w:rPr>
        <w:t>Racjonalność</w:t>
      </w:r>
    </w:p>
    <w:p w14:paraId="759158BD"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 xml:space="preserve">Pomoc przyznaje się na operację uzasadnioną pod względem racjonalności jej kosztów kwalifikowalnych/inwestycji zaplanowanych do zrealizowania. Operacja musi być możliwa do </w:t>
      </w:r>
      <w:r w:rsidRPr="008B3FFC">
        <w:rPr>
          <w:rFonts w:eastAsia="Times New Roman" w:cstheme="minorHAnsi"/>
          <w:color w:val="000000"/>
          <w:kern w:val="36"/>
          <w:sz w:val="24"/>
          <w:szCs w:val="24"/>
          <w:lang w:eastAsia="pl-PL"/>
          <w14:ligatures w14:val="none"/>
        </w:rPr>
        <w:lastRenderedPageBreak/>
        <w:t>wykonania, uzasadniona oraz dostosowana z punktu widzenia celu, zakresu i zakładanych jej rezultatów. Ocenę racjonalności należy przeprowadzać adekwatnie do rodzaju/specyfiki interwencji, a jej zakres powinien spełniać wszystkie bądź wybrane z poniższych aspektów:</w:t>
      </w:r>
    </w:p>
    <w:p w14:paraId="64063CED" w14:textId="77777777" w:rsidR="008B3FFC" w:rsidRPr="00087764" w:rsidRDefault="008B3FFC" w:rsidP="00087764">
      <w:pPr>
        <w:pStyle w:val="Akapitzlist"/>
        <w:numPr>
          <w:ilvl w:val="0"/>
          <w:numId w:val="9"/>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uzasadnienie ekonomiczne kosztów/inwestycji, czyli ocenę, w jaki sposób zakres rzeczowy wskazany we wniosku o przyznanie pomocy lub wniosku o płatność przyczyni się do osiągnięcia celu operacji lub wzrostu efektywności ekonomicznej przedsiębiorstwa (wzrost przychodów, usprawnienie procesów produkcji, ograniczenie kosztów);</w:t>
      </w:r>
    </w:p>
    <w:p w14:paraId="5E5C2A16" w14:textId="3C3FF083" w:rsidR="008B3FFC" w:rsidRPr="00087764" w:rsidRDefault="008B3FFC" w:rsidP="00087764">
      <w:pPr>
        <w:pStyle w:val="Akapitzlist"/>
        <w:numPr>
          <w:ilvl w:val="0"/>
          <w:numId w:val="9"/>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racjonalność technologiczną – sprawdzanie, czy wspierane inwestycje</w:t>
      </w:r>
      <w:r w:rsidR="00087764">
        <w:rPr>
          <w:rFonts w:eastAsia="Times New Roman" w:cstheme="minorHAnsi"/>
          <w:color w:val="000000"/>
          <w:kern w:val="36"/>
          <w:sz w:val="24"/>
          <w:szCs w:val="24"/>
          <w:lang w:eastAsia="pl-PL"/>
          <w14:ligatures w14:val="none"/>
        </w:rPr>
        <w:t xml:space="preserve"> w </w:t>
      </w:r>
      <w:r w:rsidRPr="00087764">
        <w:rPr>
          <w:rFonts w:eastAsia="Times New Roman" w:cstheme="minorHAnsi"/>
          <w:color w:val="000000"/>
          <w:kern w:val="36"/>
          <w:sz w:val="24"/>
          <w:szCs w:val="24"/>
          <w:lang w:eastAsia="pl-PL"/>
          <w14:ligatures w14:val="none"/>
        </w:rPr>
        <w:t xml:space="preserve">szczegółowości: </w:t>
      </w:r>
    </w:p>
    <w:p w14:paraId="10C76D9B" w14:textId="46B76623" w:rsidR="008B3FFC" w:rsidRPr="008B3FFC" w:rsidRDefault="00087764" w:rsidP="00087764">
      <w:pPr>
        <w:rPr>
          <w:rFonts w:eastAsia="Times New Roman" w:cstheme="minorHAnsi"/>
          <w:color w:val="000000"/>
          <w:kern w:val="36"/>
          <w:sz w:val="24"/>
          <w:szCs w:val="24"/>
          <w:lang w:eastAsia="pl-PL"/>
          <w14:ligatures w14:val="none"/>
        </w:rPr>
      </w:pPr>
      <w:r>
        <w:rPr>
          <w:rFonts w:eastAsia="Times New Roman" w:cstheme="minorHAnsi"/>
          <w:color w:val="000000"/>
          <w:kern w:val="36"/>
          <w:sz w:val="24"/>
          <w:szCs w:val="24"/>
          <w:lang w:eastAsia="pl-PL"/>
          <w14:ligatures w14:val="none"/>
        </w:rPr>
        <w:t xml:space="preserve">              </w:t>
      </w:r>
      <w:r w:rsidR="008B3FFC" w:rsidRPr="008B3FFC">
        <w:rPr>
          <w:rFonts w:eastAsia="Times New Roman" w:cstheme="minorHAnsi"/>
          <w:color w:val="000000"/>
          <w:kern w:val="36"/>
          <w:sz w:val="24"/>
          <w:szCs w:val="24"/>
          <w:lang w:eastAsia="pl-PL"/>
          <w14:ligatures w14:val="none"/>
        </w:rPr>
        <w:t>- nie mają charakteru inwestycji odtworzeniowej,</w:t>
      </w:r>
    </w:p>
    <w:p w14:paraId="4DC47E18" w14:textId="0B5FE3A9" w:rsidR="008B3FFC" w:rsidRPr="008B3FFC" w:rsidRDefault="00087764" w:rsidP="00087764">
      <w:pPr>
        <w:rPr>
          <w:rFonts w:eastAsia="Times New Roman" w:cstheme="minorHAnsi"/>
          <w:color w:val="000000"/>
          <w:kern w:val="36"/>
          <w:sz w:val="24"/>
          <w:szCs w:val="24"/>
          <w:lang w:eastAsia="pl-PL"/>
          <w14:ligatures w14:val="none"/>
        </w:rPr>
      </w:pPr>
      <w:r>
        <w:rPr>
          <w:rFonts w:eastAsia="Times New Roman" w:cstheme="minorHAnsi"/>
          <w:color w:val="000000"/>
          <w:kern w:val="36"/>
          <w:sz w:val="24"/>
          <w:szCs w:val="24"/>
          <w:lang w:eastAsia="pl-PL"/>
          <w14:ligatures w14:val="none"/>
        </w:rPr>
        <w:t xml:space="preserve">              </w:t>
      </w:r>
      <w:r w:rsidR="008B3FFC" w:rsidRPr="008B3FFC">
        <w:rPr>
          <w:rFonts w:eastAsia="Times New Roman" w:cstheme="minorHAnsi"/>
          <w:color w:val="000000"/>
          <w:kern w:val="36"/>
          <w:sz w:val="24"/>
          <w:szCs w:val="24"/>
          <w:lang w:eastAsia="pl-PL"/>
          <w14:ligatures w14:val="none"/>
        </w:rPr>
        <w:t>- są uzasadnione ze względu na komplementarność technologiczną,</w:t>
      </w:r>
    </w:p>
    <w:p w14:paraId="06262DB2" w14:textId="19812B1E" w:rsidR="008B3FFC" w:rsidRPr="008B3FFC" w:rsidRDefault="00087764" w:rsidP="00087764">
      <w:pPr>
        <w:rPr>
          <w:rFonts w:eastAsia="Times New Roman" w:cstheme="minorHAnsi"/>
          <w:color w:val="000000"/>
          <w:kern w:val="36"/>
          <w:sz w:val="24"/>
          <w:szCs w:val="24"/>
          <w:lang w:eastAsia="pl-PL"/>
          <w14:ligatures w14:val="none"/>
        </w:rPr>
      </w:pPr>
      <w:r>
        <w:rPr>
          <w:rFonts w:eastAsia="Times New Roman" w:cstheme="minorHAnsi"/>
          <w:color w:val="000000"/>
          <w:kern w:val="36"/>
          <w:sz w:val="24"/>
          <w:szCs w:val="24"/>
          <w:lang w:eastAsia="pl-PL"/>
          <w14:ligatures w14:val="none"/>
        </w:rPr>
        <w:t xml:space="preserve">              </w:t>
      </w:r>
      <w:r w:rsidR="008B3FFC" w:rsidRPr="008B3FFC">
        <w:rPr>
          <w:rFonts w:eastAsia="Times New Roman" w:cstheme="minorHAnsi"/>
          <w:color w:val="000000"/>
          <w:kern w:val="36"/>
          <w:sz w:val="24"/>
          <w:szCs w:val="24"/>
          <w:lang w:eastAsia="pl-PL"/>
          <w14:ligatures w14:val="none"/>
        </w:rPr>
        <w:t>- są uzasadnione ze względu na profil produkcji,</w:t>
      </w:r>
    </w:p>
    <w:p w14:paraId="13AECDA3" w14:textId="75F34312" w:rsidR="00087764" w:rsidRDefault="00087764" w:rsidP="00087764">
      <w:pPr>
        <w:rPr>
          <w:rFonts w:eastAsia="Times New Roman" w:cstheme="minorHAnsi"/>
          <w:color w:val="000000"/>
          <w:kern w:val="36"/>
          <w:sz w:val="24"/>
          <w:szCs w:val="24"/>
          <w:lang w:eastAsia="pl-PL"/>
          <w14:ligatures w14:val="none"/>
        </w:rPr>
      </w:pPr>
      <w:r>
        <w:rPr>
          <w:rFonts w:eastAsia="Times New Roman" w:cstheme="minorHAnsi"/>
          <w:color w:val="000000"/>
          <w:kern w:val="36"/>
          <w:sz w:val="24"/>
          <w:szCs w:val="24"/>
          <w:lang w:eastAsia="pl-PL"/>
          <w14:ligatures w14:val="none"/>
        </w:rPr>
        <w:t xml:space="preserve">              </w:t>
      </w:r>
      <w:r w:rsidR="008B3FFC" w:rsidRPr="008B3FFC">
        <w:rPr>
          <w:rFonts w:eastAsia="Times New Roman" w:cstheme="minorHAnsi"/>
          <w:color w:val="000000"/>
          <w:kern w:val="36"/>
          <w:sz w:val="24"/>
          <w:szCs w:val="24"/>
          <w:lang w:eastAsia="pl-PL"/>
          <w14:ligatures w14:val="none"/>
        </w:rPr>
        <w:t xml:space="preserve">- są uzasadnione ze względu na skale produkcji, wykazują możliwość zbytu produkcji </w:t>
      </w:r>
      <w:r>
        <w:rPr>
          <w:rFonts w:eastAsia="Times New Roman" w:cstheme="minorHAnsi"/>
          <w:color w:val="000000"/>
          <w:kern w:val="36"/>
          <w:sz w:val="24"/>
          <w:szCs w:val="24"/>
          <w:lang w:eastAsia="pl-PL"/>
          <w14:ligatures w14:val="none"/>
        </w:rPr>
        <w:t xml:space="preserve">          </w:t>
      </w:r>
      <w:r w:rsidR="008B3FFC" w:rsidRPr="008B3FFC">
        <w:rPr>
          <w:rFonts w:eastAsia="Times New Roman" w:cstheme="minorHAnsi"/>
          <w:color w:val="000000"/>
          <w:kern w:val="36"/>
          <w:sz w:val="24"/>
          <w:szCs w:val="24"/>
          <w:lang w:eastAsia="pl-PL"/>
          <w14:ligatures w14:val="none"/>
        </w:rPr>
        <w:t>w przypadku wzrostu mocy produkcyjnych,</w:t>
      </w:r>
      <w:r>
        <w:rPr>
          <w:rFonts w:eastAsia="Times New Roman" w:cstheme="minorHAnsi"/>
          <w:color w:val="000000"/>
          <w:kern w:val="36"/>
          <w:sz w:val="24"/>
          <w:szCs w:val="24"/>
          <w:lang w:eastAsia="pl-PL"/>
          <w14:ligatures w14:val="none"/>
        </w:rPr>
        <w:t xml:space="preserve"> </w:t>
      </w:r>
    </w:p>
    <w:p w14:paraId="69678E01" w14:textId="2FEC34B5" w:rsidR="008B3FFC" w:rsidRPr="00087764" w:rsidRDefault="008B3FFC" w:rsidP="00087764">
      <w:pPr>
        <w:pStyle w:val="Akapitzlist"/>
        <w:numPr>
          <w:ilvl w:val="0"/>
          <w:numId w:val="10"/>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racjonalność kosztową – sprawdzenie czy planowane koszty/szacunkowe koszty planowanych inwestycji objęte zakresem rzeczowym operacji są rynkowe lub czy zostały oszacowane na podstawie cen rynkowych.</w:t>
      </w:r>
    </w:p>
    <w:p w14:paraId="44BFA0FF"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Ocena racjonalności przeprowadzania jest na etapie oceny merytorycznej wniosku o przyznanie pomocy, a także każdorazowo w przypadku zmian mających wpływ na zakres rzeczowo-finansowych operacji.</w:t>
      </w:r>
    </w:p>
    <w:p w14:paraId="06901EF2"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Weryfikacja racjonalności kosztów/inwestycji jest dokonywana poprzez porównanie cen zawartych we wniosku o przyznanie pomocy lub wniosku o płatność z cenami określonymi m.in.:</w:t>
      </w:r>
    </w:p>
    <w:p w14:paraId="61FFE841" w14:textId="77777777" w:rsidR="008B3FFC" w:rsidRPr="00087764" w:rsidRDefault="008B3FFC" w:rsidP="00087764">
      <w:pPr>
        <w:pStyle w:val="Akapitzlist"/>
        <w:numPr>
          <w:ilvl w:val="0"/>
          <w:numId w:val="10"/>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w stosowanych powszechnie aktualnych publikacjach w przedmiotowym zakresie;</w:t>
      </w:r>
    </w:p>
    <w:p w14:paraId="317DE440" w14:textId="77777777" w:rsidR="008B3FFC" w:rsidRPr="00087764" w:rsidRDefault="008B3FFC" w:rsidP="00087764">
      <w:pPr>
        <w:pStyle w:val="Akapitzlist"/>
        <w:numPr>
          <w:ilvl w:val="0"/>
          <w:numId w:val="10"/>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w aktualnych cennikach branżowych, katalogach;</w:t>
      </w:r>
    </w:p>
    <w:p w14:paraId="45AA2E89" w14:textId="77777777" w:rsidR="008B3FFC" w:rsidRPr="00087764" w:rsidRDefault="008B3FFC" w:rsidP="00087764">
      <w:pPr>
        <w:pStyle w:val="Akapitzlist"/>
        <w:numPr>
          <w:ilvl w:val="0"/>
          <w:numId w:val="10"/>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w cennikach, ofertach zamieszczonych na stronie internetowej potencjalnego wykonawcy;</w:t>
      </w:r>
    </w:p>
    <w:p w14:paraId="2CC81BF5" w14:textId="77777777" w:rsidR="008B3FFC" w:rsidRPr="00087764" w:rsidRDefault="008B3FFC" w:rsidP="00087764">
      <w:pPr>
        <w:pStyle w:val="Akapitzlist"/>
        <w:numPr>
          <w:ilvl w:val="0"/>
          <w:numId w:val="10"/>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w drodze telefonicznego rozpoznania ceny kosztu zadania u producentów urządzeń/wykonawców danego typu zadań;</w:t>
      </w:r>
    </w:p>
    <w:p w14:paraId="13E545D9" w14:textId="77777777" w:rsidR="008B3FFC" w:rsidRPr="00087764" w:rsidRDefault="008B3FFC" w:rsidP="00087764">
      <w:pPr>
        <w:pStyle w:val="Akapitzlist"/>
        <w:numPr>
          <w:ilvl w:val="0"/>
          <w:numId w:val="10"/>
        </w:numPr>
        <w:rPr>
          <w:rFonts w:eastAsia="Times New Roman" w:cstheme="minorHAnsi"/>
          <w:color w:val="000000"/>
          <w:kern w:val="36"/>
          <w:sz w:val="24"/>
          <w:szCs w:val="24"/>
          <w:lang w:eastAsia="pl-PL"/>
          <w14:ligatures w14:val="none"/>
        </w:rPr>
      </w:pPr>
      <w:r w:rsidRPr="00087764">
        <w:rPr>
          <w:rFonts w:eastAsia="Times New Roman" w:cstheme="minorHAnsi"/>
          <w:color w:val="000000"/>
          <w:kern w:val="36"/>
          <w:sz w:val="24"/>
          <w:szCs w:val="24"/>
          <w:lang w:eastAsia="pl-PL"/>
          <w14:ligatures w14:val="none"/>
        </w:rPr>
        <w:t>w innych wnioskach o przyznanie pomocy lub wnioskach o płatność złożonych w podobnym czasie i o porównywalnym zakresie rzeczowym.</w:t>
      </w:r>
    </w:p>
    <w:p w14:paraId="5DB54004" w14:textId="77777777" w:rsidR="008B3FFC" w:rsidRPr="008B3FFC" w:rsidRDefault="008B3FFC" w:rsidP="008B3FFC">
      <w:pPr>
        <w:rPr>
          <w:rFonts w:eastAsia="Times New Roman" w:cstheme="minorHAnsi"/>
          <w:color w:val="000000"/>
          <w:kern w:val="36"/>
          <w:sz w:val="24"/>
          <w:szCs w:val="24"/>
          <w:lang w:eastAsia="pl-PL"/>
          <w14:ligatures w14:val="none"/>
        </w:rPr>
      </w:pPr>
      <w:r w:rsidRPr="008B3FFC">
        <w:rPr>
          <w:rFonts w:eastAsia="Times New Roman" w:cstheme="minorHAnsi"/>
          <w:color w:val="000000"/>
          <w:kern w:val="36"/>
          <w:sz w:val="24"/>
          <w:szCs w:val="24"/>
          <w:lang w:eastAsia="pl-PL"/>
          <w14:ligatures w14:val="none"/>
        </w:rPr>
        <w:t>W przypadku, gdy inwestycja jest unikatowa lub skomplikowania czy też jej ocena jest utrudniana ze względu na wysokie zaawansowanie technologiczne przedmiotu operacji lub specyfikę operacji, dokonuje się oceny w ramach eksperckiej oceny racjonalności kosztów, tj. grupy ekspertów z różnych branż (np. budowlanej, dotyczącej zakupu wyposażenia, sprzętu rolniczego), w składzie umożliwiającym ocenę wniosków o przyznanie pomocy lub wniosków o płatność.</w:t>
      </w:r>
    </w:p>
    <w:p w14:paraId="0D65BD69" w14:textId="77777777" w:rsidR="008B3FFC" w:rsidRPr="008B3FFC" w:rsidRDefault="008B3FFC" w:rsidP="008B3FFC">
      <w:pPr>
        <w:rPr>
          <w:rFonts w:eastAsia="Times New Roman" w:cstheme="minorHAnsi"/>
          <w:color w:val="000000"/>
          <w:kern w:val="36"/>
          <w:sz w:val="24"/>
          <w:szCs w:val="24"/>
          <w:lang w:eastAsia="pl-PL"/>
          <w14:ligatures w14:val="none"/>
        </w:rPr>
      </w:pPr>
    </w:p>
    <w:p w14:paraId="611B1EA7" w14:textId="464A71F5" w:rsidR="007F35FF" w:rsidRDefault="007F35FF" w:rsidP="008B3FFC">
      <w:pPr>
        <w:rPr>
          <w:rFonts w:cstheme="minorHAnsi"/>
          <w:sz w:val="24"/>
          <w:szCs w:val="24"/>
        </w:rPr>
      </w:pPr>
    </w:p>
    <w:p w14:paraId="3BA3FA87" w14:textId="77777777" w:rsidR="006C2E45" w:rsidRPr="006C2E45" w:rsidRDefault="006C2E45" w:rsidP="006C2E45">
      <w:pPr>
        <w:rPr>
          <w:rFonts w:cstheme="minorHAnsi"/>
          <w:sz w:val="24"/>
          <w:szCs w:val="24"/>
        </w:rPr>
      </w:pPr>
    </w:p>
    <w:p w14:paraId="48933CBD" w14:textId="77777777" w:rsidR="006C2E45" w:rsidRPr="006C2E45" w:rsidRDefault="006C2E45" w:rsidP="006C2E45">
      <w:pPr>
        <w:rPr>
          <w:rFonts w:cstheme="minorHAnsi"/>
          <w:sz w:val="24"/>
          <w:szCs w:val="24"/>
        </w:rPr>
      </w:pPr>
    </w:p>
    <w:p w14:paraId="0940CFA4" w14:textId="77777777" w:rsidR="006C2E45" w:rsidRPr="006C2E45" w:rsidRDefault="006C2E45" w:rsidP="006C2E45">
      <w:pPr>
        <w:rPr>
          <w:rFonts w:cstheme="minorHAnsi"/>
          <w:sz w:val="24"/>
          <w:szCs w:val="24"/>
        </w:rPr>
      </w:pPr>
    </w:p>
    <w:p w14:paraId="0D43C37C" w14:textId="77777777" w:rsidR="006C2E45" w:rsidRPr="006C2E45" w:rsidRDefault="006C2E45" w:rsidP="006C2E45">
      <w:pPr>
        <w:rPr>
          <w:rFonts w:cstheme="minorHAnsi"/>
          <w:sz w:val="24"/>
          <w:szCs w:val="24"/>
        </w:rPr>
      </w:pPr>
    </w:p>
    <w:p w14:paraId="0BA64355" w14:textId="77777777" w:rsidR="006C2E45" w:rsidRPr="006C2E45" w:rsidRDefault="006C2E45" w:rsidP="006C2E45">
      <w:pPr>
        <w:rPr>
          <w:rFonts w:cstheme="minorHAnsi"/>
          <w:sz w:val="24"/>
          <w:szCs w:val="24"/>
        </w:rPr>
      </w:pPr>
    </w:p>
    <w:p w14:paraId="1E4FA4D5" w14:textId="77777777" w:rsidR="006C2E45" w:rsidRPr="006C2E45" w:rsidRDefault="006C2E45" w:rsidP="006C2E45">
      <w:pPr>
        <w:rPr>
          <w:rFonts w:cstheme="minorHAnsi"/>
          <w:sz w:val="24"/>
          <w:szCs w:val="24"/>
        </w:rPr>
      </w:pPr>
    </w:p>
    <w:p w14:paraId="1227628E" w14:textId="77777777" w:rsidR="006C2E45" w:rsidRPr="006C2E45" w:rsidRDefault="006C2E45" w:rsidP="006C2E45">
      <w:pPr>
        <w:rPr>
          <w:rFonts w:cstheme="minorHAnsi"/>
          <w:sz w:val="24"/>
          <w:szCs w:val="24"/>
        </w:rPr>
      </w:pPr>
    </w:p>
    <w:p w14:paraId="7708B4CA" w14:textId="77777777" w:rsidR="006C2E45" w:rsidRPr="006C2E45" w:rsidRDefault="006C2E45" w:rsidP="006C2E45">
      <w:pPr>
        <w:rPr>
          <w:rFonts w:cstheme="minorHAnsi"/>
          <w:sz w:val="24"/>
          <w:szCs w:val="24"/>
        </w:rPr>
      </w:pPr>
    </w:p>
    <w:p w14:paraId="11071CF4" w14:textId="77777777" w:rsidR="006C2E45" w:rsidRPr="006C2E45" w:rsidRDefault="006C2E45" w:rsidP="006C2E45">
      <w:pPr>
        <w:rPr>
          <w:rFonts w:cstheme="minorHAnsi"/>
          <w:sz w:val="24"/>
          <w:szCs w:val="24"/>
        </w:rPr>
      </w:pPr>
    </w:p>
    <w:p w14:paraId="511040E2" w14:textId="77777777" w:rsidR="006C2E45" w:rsidRPr="006C2E45" w:rsidRDefault="006C2E45" w:rsidP="006C2E45">
      <w:pPr>
        <w:rPr>
          <w:rFonts w:cstheme="minorHAnsi"/>
          <w:sz w:val="24"/>
          <w:szCs w:val="24"/>
        </w:rPr>
      </w:pPr>
    </w:p>
    <w:p w14:paraId="532F9DDD" w14:textId="77777777" w:rsidR="006C2E45" w:rsidRPr="006C2E45" w:rsidRDefault="006C2E45" w:rsidP="006C2E45">
      <w:pPr>
        <w:rPr>
          <w:rFonts w:cstheme="minorHAnsi"/>
          <w:sz w:val="24"/>
          <w:szCs w:val="24"/>
        </w:rPr>
      </w:pPr>
    </w:p>
    <w:p w14:paraId="68B4B0B9" w14:textId="77777777" w:rsidR="006C2E45" w:rsidRPr="006C2E45" w:rsidRDefault="006C2E45" w:rsidP="006C2E45">
      <w:pPr>
        <w:rPr>
          <w:rFonts w:cstheme="minorHAnsi"/>
          <w:sz w:val="24"/>
          <w:szCs w:val="24"/>
        </w:rPr>
      </w:pPr>
    </w:p>
    <w:p w14:paraId="7065703A" w14:textId="77777777" w:rsidR="006C2E45" w:rsidRPr="006C2E45" w:rsidRDefault="006C2E45" w:rsidP="006C2E45">
      <w:pPr>
        <w:rPr>
          <w:rFonts w:cstheme="minorHAnsi"/>
          <w:sz w:val="24"/>
          <w:szCs w:val="24"/>
        </w:rPr>
      </w:pPr>
    </w:p>
    <w:p w14:paraId="5CAD9685" w14:textId="77777777" w:rsidR="006C2E45" w:rsidRPr="006C2E45" w:rsidRDefault="006C2E45" w:rsidP="006C2E45">
      <w:pPr>
        <w:rPr>
          <w:rFonts w:cstheme="minorHAnsi"/>
          <w:sz w:val="24"/>
          <w:szCs w:val="24"/>
        </w:rPr>
      </w:pPr>
    </w:p>
    <w:p w14:paraId="2E1B0B82" w14:textId="77777777" w:rsidR="006C2E45" w:rsidRPr="006C2E45" w:rsidRDefault="006C2E45" w:rsidP="006C2E45">
      <w:pPr>
        <w:rPr>
          <w:rFonts w:cstheme="minorHAnsi"/>
          <w:sz w:val="24"/>
          <w:szCs w:val="24"/>
        </w:rPr>
      </w:pPr>
    </w:p>
    <w:p w14:paraId="2114A9DE" w14:textId="77777777" w:rsidR="006C2E45" w:rsidRPr="006C2E45" w:rsidRDefault="006C2E45" w:rsidP="006C2E45">
      <w:pPr>
        <w:rPr>
          <w:rFonts w:cstheme="minorHAnsi"/>
          <w:sz w:val="24"/>
          <w:szCs w:val="24"/>
        </w:rPr>
      </w:pPr>
    </w:p>
    <w:p w14:paraId="224CBB5D" w14:textId="77777777" w:rsidR="006C2E45" w:rsidRPr="006C2E45" w:rsidRDefault="006C2E45" w:rsidP="006C2E45">
      <w:pPr>
        <w:rPr>
          <w:rFonts w:cstheme="minorHAnsi"/>
          <w:sz w:val="24"/>
          <w:szCs w:val="24"/>
        </w:rPr>
      </w:pPr>
    </w:p>
    <w:p w14:paraId="0321108C" w14:textId="77777777" w:rsidR="006C2E45" w:rsidRPr="006C2E45" w:rsidRDefault="006C2E45" w:rsidP="006C2E45">
      <w:pPr>
        <w:rPr>
          <w:rFonts w:cstheme="minorHAnsi"/>
          <w:sz w:val="24"/>
          <w:szCs w:val="24"/>
        </w:rPr>
      </w:pPr>
    </w:p>
    <w:p w14:paraId="44D57092" w14:textId="77777777" w:rsidR="006C2E45" w:rsidRPr="006C2E45" w:rsidRDefault="006C2E45" w:rsidP="006C2E45">
      <w:pPr>
        <w:rPr>
          <w:rFonts w:cstheme="minorHAnsi"/>
          <w:sz w:val="24"/>
          <w:szCs w:val="24"/>
        </w:rPr>
      </w:pPr>
    </w:p>
    <w:p w14:paraId="4DA46BCC" w14:textId="77777777" w:rsidR="006C2E45" w:rsidRPr="006C2E45" w:rsidRDefault="006C2E45" w:rsidP="006C2E45">
      <w:pPr>
        <w:rPr>
          <w:rFonts w:cstheme="minorHAnsi"/>
          <w:sz w:val="24"/>
          <w:szCs w:val="24"/>
        </w:rPr>
      </w:pPr>
    </w:p>
    <w:p w14:paraId="1BB92964" w14:textId="77777777" w:rsidR="006C2E45" w:rsidRPr="006C2E45" w:rsidRDefault="006C2E45" w:rsidP="006C2E45">
      <w:pPr>
        <w:rPr>
          <w:rFonts w:cstheme="minorHAnsi"/>
          <w:sz w:val="24"/>
          <w:szCs w:val="24"/>
        </w:rPr>
      </w:pPr>
    </w:p>
    <w:p w14:paraId="1E535A97" w14:textId="77777777" w:rsidR="006C2E45" w:rsidRPr="006C2E45" w:rsidRDefault="006C2E45" w:rsidP="006C2E45">
      <w:pPr>
        <w:rPr>
          <w:rFonts w:cstheme="minorHAnsi"/>
          <w:sz w:val="24"/>
          <w:szCs w:val="24"/>
        </w:rPr>
      </w:pPr>
    </w:p>
    <w:p w14:paraId="34815A18" w14:textId="77777777" w:rsidR="006C2E45" w:rsidRPr="006C2E45" w:rsidRDefault="006C2E45" w:rsidP="006C2E45">
      <w:pPr>
        <w:rPr>
          <w:rFonts w:cstheme="minorHAnsi"/>
          <w:sz w:val="24"/>
          <w:szCs w:val="24"/>
        </w:rPr>
      </w:pPr>
    </w:p>
    <w:p w14:paraId="3FBE96FC" w14:textId="77777777" w:rsidR="006C2E45" w:rsidRPr="006C2E45" w:rsidRDefault="006C2E45" w:rsidP="006C2E45">
      <w:pPr>
        <w:rPr>
          <w:rFonts w:cstheme="minorHAnsi"/>
          <w:sz w:val="24"/>
          <w:szCs w:val="24"/>
        </w:rPr>
      </w:pPr>
    </w:p>
    <w:p w14:paraId="29EC851F" w14:textId="77777777" w:rsidR="006C2E45" w:rsidRPr="006C2E45" w:rsidRDefault="006C2E45" w:rsidP="006C2E45">
      <w:pPr>
        <w:rPr>
          <w:rFonts w:cstheme="minorHAnsi"/>
          <w:sz w:val="24"/>
          <w:szCs w:val="24"/>
        </w:rPr>
      </w:pPr>
    </w:p>
    <w:p w14:paraId="4D4805D3" w14:textId="77777777" w:rsidR="006C2E45" w:rsidRPr="006C2E45" w:rsidRDefault="006C2E45" w:rsidP="006C2E45">
      <w:pPr>
        <w:rPr>
          <w:rFonts w:cstheme="minorHAnsi"/>
          <w:sz w:val="24"/>
          <w:szCs w:val="24"/>
        </w:rPr>
      </w:pPr>
    </w:p>
    <w:p w14:paraId="27D5BE23" w14:textId="77777777" w:rsidR="006C2E45" w:rsidRPr="006C2E45" w:rsidRDefault="006C2E45" w:rsidP="006C2E45">
      <w:pPr>
        <w:rPr>
          <w:rFonts w:cstheme="minorHAnsi"/>
          <w:sz w:val="24"/>
          <w:szCs w:val="24"/>
        </w:rPr>
      </w:pPr>
    </w:p>
    <w:p w14:paraId="74B95223" w14:textId="76314DD3" w:rsidR="006C2E45" w:rsidRPr="006C2E45" w:rsidRDefault="006C2E45" w:rsidP="006C2E45">
      <w:pPr>
        <w:rPr>
          <w:rFonts w:cstheme="minorHAnsi"/>
          <w:sz w:val="24"/>
          <w:szCs w:val="24"/>
        </w:rPr>
      </w:pPr>
    </w:p>
    <w:p w14:paraId="492D06D8" w14:textId="1EB50C21" w:rsidR="006C2E45" w:rsidRPr="006C2E45" w:rsidRDefault="006C2E45" w:rsidP="006C2E45">
      <w:pPr>
        <w:rPr>
          <w:rFonts w:cstheme="minorHAnsi"/>
          <w:sz w:val="24"/>
          <w:szCs w:val="24"/>
        </w:rPr>
      </w:pPr>
    </w:p>
    <w:p w14:paraId="586CB9A6" w14:textId="5EB01242" w:rsidR="006C2E45" w:rsidRPr="006C2E45" w:rsidRDefault="006C2E45" w:rsidP="006C2E45">
      <w:pPr>
        <w:rPr>
          <w:rFonts w:cstheme="minorHAnsi"/>
          <w:sz w:val="24"/>
          <w:szCs w:val="24"/>
        </w:rPr>
      </w:pPr>
    </w:p>
    <w:sectPr w:rsidR="006C2E45" w:rsidRPr="006C2E45" w:rsidSect="006C2E45">
      <w:headerReference w:type="even" r:id="rId9"/>
      <w:headerReference w:type="default" r:id="rId10"/>
      <w:headerReference w:type="first" r:id="rId11"/>
      <w:pgSz w:w="11906" w:h="16838"/>
      <w:pgMar w:top="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E2AA" w14:textId="77777777" w:rsidR="00690E2A" w:rsidRDefault="00690E2A" w:rsidP="00D42425">
      <w:pPr>
        <w:spacing w:after="0" w:line="240" w:lineRule="auto"/>
      </w:pPr>
      <w:r>
        <w:separator/>
      </w:r>
    </w:p>
  </w:endnote>
  <w:endnote w:type="continuationSeparator" w:id="0">
    <w:p w14:paraId="7AD6C1D6" w14:textId="77777777" w:rsidR="00690E2A" w:rsidRDefault="00690E2A" w:rsidP="00D4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0FC63" w14:textId="77777777" w:rsidR="00690E2A" w:rsidRDefault="00690E2A" w:rsidP="00D42425">
      <w:pPr>
        <w:spacing w:after="0" w:line="240" w:lineRule="auto"/>
      </w:pPr>
      <w:r>
        <w:separator/>
      </w:r>
    </w:p>
  </w:footnote>
  <w:footnote w:type="continuationSeparator" w:id="0">
    <w:p w14:paraId="284CFF44" w14:textId="77777777" w:rsidR="00690E2A" w:rsidRDefault="00690E2A" w:rsidP="00D4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0E85" w14:textId="39182CD1" w:rsidR="00D42425" w:rsidRDefault="0052611F">
    <w:pPr>
      <w:pStyle w:val="Nagwek"/>
    </w:pPr>
    <w:r>
      <w:rPr>
        <w:noProof/>
      </w:rPr>
      <w:pict w14:anchorId="6F7C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453.1pt;height:391.9pt;z-index:-251657216;mso-position-horizontal:center;mso-position-horizontal-relative:margin;mso-position-vertical:center;mso-position-vertical-relative:margin" o:allowincell="f">
          <v:imagedata r:id="rId1" o:title="nowe logo LGD Podkow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C6E8" w14:textId="0622FD81" w:rsidR="00D42425" w:rsidRDefault="0052611F">
    <w:pPr>
      <w:pStyle w:val="Nagwek"/>
    </w:pPr>
    <w:r>
      <w:rPr>
        <w:noProof/>
      </w:rPr>
      <w:pict w14:anchorId="0763E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453.1pt;height:391.9pt;z-index:-251656192;mso-position-horizontal:center;mso-position-horizontal-relative:margin;mso-position-vertical:center;mso-position-vertical-relative:margin" o:allowincell="f">
          <v:imagedata r:id="rId1" o:title="nowe logo LGD Podkow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D21E" w14:textId="2646A47E" w:rsidR="00D42425" w:rsidRDefault="0052611F">
    <w:pPr>
      <w:pStyle w:val="Nagwek"/>
    </w:pPr>
    <w:r>
      <w:rPr>
        <w:noProof/>
      </w:rPr>
      <w:pict w14:anchorId="7F213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4" type="#_x0000_t75" style="position:absolute;margin-left:0;margin-top:0;width:453.1pt;height:391.9pt;z-index:-251658240;mso-position-horizontal:center;mso-position-horizontal-relative:margin;mso-position-vertical:center;mso-position-vertical-relative:margin" o:allowincell="f">
          <v:imagedata r:id="rId1" o:title="nowe logo LGD Podkow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57A14"/>
    <w:multiLevelType w:val="hybridMultilevel"/>
    <w:tmpl w:val="66D0C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0B3517"/>
    <w:multiLevelType w:val="hybridMultilevel"/>
    <w:tmpl w:val="C1509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926996"/>
    <w:multiLevelType w:val="multilevel"/>
    <w:tmpl w:val="EBC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46295"/>
    <w:multiLevelType w:val="multilevel"/>
    <w:tmpl w:val="983E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06BB8"/>
    <w:multiLevelType w:val="hybridMultilevel"/>
    <w:tmpl w:val="AB0A1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812B96"/>
    <w:multiLevelType w:val="multilevel"/>
    <w:tmpl w:val="AAF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D544AD"/>
    <w:multiLevelType w:val="hybridMultilevel"/>
    <w:tmpl w:val="BF001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0F14BA6"/>
    <w:multiLevelType w:val="hybridMultilevel"/>
    <w:tmpl w:val="7F5C6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EA409A"/>
    <w:multiLevelType w:val="hybridMultilevel"/>
    <w:tmpl w:val="4288E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7A574B"/>
    <w:multiLevelType w:val="multilevel"/>
    <w:tmpl w:val="62F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B870C4"/>
    <w:multiLevelType w:val="multilevel"/>
    <w:tmpl w:val="BB3E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2484430">
    <w:abstractNumId w:val="9"/>
  </w:num>
  <w:num w:numId="2" w16cid:durableId="1037972535">
    <w:abstractNumId w:val="5"/>
  </w:num>
  <w:num w:numId="3" w16cid:durableId="874776203">
    <w:abstractNumId w:val="10"/>
  </w:num>
  <w:num w:numId="4" w16cid:durableId="1852332719">
    <w:abstractNumId w:val="3"/>
  </w:num>
  <w:num w:numId="5" w16cid:durableId="329338052">
    <w:abstractNumId w:val="2"/>
  </w:num>
  <w:num w:numId="6" w16cid:durableId="1371148180">
    <w:abstractNumId w:val="8"/>
  </w:num>
  <w:num w:numId="7" w16cid:durableId="513301689">
    <w:abstractNumId w:val="7"/>
  </w:num>
  <w:num w:numId="8" w16cid:durableId="1803573478">
    <w:abstractNumId w:val="4"/>
  </w:num>
  <w:num w:numId="9" w16cid:durableId="1988165789">
    <w:abstractNumId w:val="1"/>
  </w:num>
  <w:num w:numId="10" w16cid:durableId="1147674534">
    <w:abstractNumId w:val="6"/>
  </w:num>
  <w:num w:numId="11" w16cid:durableId="20021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13"/>
    <w:rsid w:val="00087764"/>
    <w:rsid w:val="00322FB7"/>
    <w:rsid w:val="0052611F"/>
    <w:rsid w:val="00690E2A"/>
    <w:rsid w:val="006C2E45"/>
    <w:rsid w:val="00751DA0"/>
    <w:rsid w:val="007F35FF"/>
    <w:rsid w:val="008B3FFC"/>
    <w:rsid w:val="00A673E6"/>
    <w:rsid w:val="00D42425"/>
    <w:rsid w:val="00D57D13"/>
    <w:rsid w:val="00F05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0DE3C"/>
  <w15:chartTrackingRefBased/>
  <w15:docId w15:val="{6AED3255-266E-40C2-9562-7592888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3FFC"/>
    <w:pPr>
      <w:ind w:left="720"/>
      <w:contextualSpacing/>
    </w:pPr>
  </w:style>
  <w:style w:type="paragraph" w:styleId="Nagwek">
    <w:name w:val="header"/>
    <w:basedOn w:val="Normalny"/>
    <w:link w:val="NagwekZnak"/>
    <w:uiPriority w:val="99"/>
    <w:unhideWhenUsed/>
    <w:rsid w:val="00D424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425"/>
  </w:style>
  <w:style w:type="paragraph" w:styleId="Stopka">
    <w:name w:val="footer"/>
    <w:basedOn w:val="Normalny"/>
    <w:link w:val="StopkaZnak"/>
    <w:uiPriority w:val="99"/>
    <w:unhideWhenUsed/>
    <w:rsid w:val="00D424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425"/>
  </w:style>
  <w:style w:type="character" w:styleId="Hipercze">
    <w:name w:val="Hyperlink"/>
    <w:uiPriority w:val="99"/>
    <w:unhideWhenUsed/>
    <w:rsid w:val="006C2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68735">
      <w:bodyDiv w:val="1"/>
      <w:marLeft w:val="0"/>
      <w:marRight w:val="0"/>
      <w:marTop w:val="0"/>
      <w:marBottom w:val="0"/>
      <w:divBdr>
        <w:top w:val="none" w:sz="0" w:space="0" w:color="auto"/>
        <w:left w:val="none" w:sz="0" w:space="0" w:color="auto"/>
        <w:bottom w:val="none" w:sz="0" w:space="0" w:color="auto"/>
        <w:right w:val="none" w:sz="0" w:space="0" w:color="auto"/>
      </w:divBdr>
      <w:divsChild>
        <w:div w:id="939604321">
          <w:marLeft w:val="0"/>
          <w:marRight w:val="0"/>
          <w:marTop w:val="0"/>
          <w:marBottom w:val="0"/>
          <w:divBdr>
            <w:top w:val="single" w:sz="2" w:space="0" w:color="E5E7EB"/>
            <w:left w:val="single" w:sz="2" w:space="0" w:color="E5E7EB"/>
            <w:bottom w:val="single" w:sz="2" w:space="0" w:color="E5E7EB"/>
            <w:right w:val="single" w:sz="2" w:space="0" w:color="E5E7EB"/>
          </w:divBdr>
          <w:divsChild>
            <w:div w:id="564755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095936">
          <w:marLeft w:val="0"/>
          <w:marRight w:val="0"/>
          <w:marTop w:val="0"/>
          <w:marBottom w:val="0"/>
          <w:divBdr>
            <w:top w:val="single" w:sz="2" w:space="0" w:color="E5E7EB"/>
            <w:left w:val="single" w:sz="2" w:space="0" w:color="E5E7EB"/>
            <w:bottom w:val="single" w:sz="2" w:space="0" w:color="E5E7EB"/>
            <w:right w:val="single" w:sz="2" w:space="0" w:color="E5E7EB"/>
          </w:divBdr>
          <w:divsChild>
            <w:div w:id="1341741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18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178D-D109-4BBB-B286-B350F1BA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1133</Words>
  <Characters>6802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Maj-Przybyła</dc:creator>
  <cp:keywords/>
  <dc:description/>
  <cp:lastModifiedBy>Kinga Maj-Przybyła</cp:lastModifiedBy>
  <cp:revision>2</cp:revision>
  <dcterms:created xsi:type="dcterms:W3CDTF">2025-01-08T11:59:00Z</dcterms:created>
  <dcterms:modified xsi:type="dcterms:W3CDTF">2025-01-09T12:05:00Z</dcterms:modified>
</cp:coreProperties>
</file>