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C880D" w14:textId="64D7670A" w:rsidR="000958DB" w:rsidRPr="00BD41AC" w:rsidRDefault="00AB7D8C" w:rsidP="00153171">
      <w:pPr>
        <w:pStyle w:val="Nagwek1"/>
        <w:jc w:val="center"/>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41AC">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Procedura ustalania i zmiany niebudzących wątpliwości interpretacyjnych kryteriów wyboru grantobiorców </w:t>
      </w:r>
      <w:r w:rsidR="008E2D9A">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uwzględniających kryteria wyboru</w:t>
      </w:r>
      <w:r w:rsidR="00337A4E">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Lokalnej Grupy Działania „Podkowa”</w:t>
      </w:r>
    </w:p>
    <w:p w14:paraId="69086903" w14:textId="77777777" w:rsidR="00BD41AC" w:rsidRPr="00CE1CB0" w:rsidRDefault="00BD41AC" w:rsidP="00744543">
      <w:pPr>
        <w:rPr>
          <w:rFonts w:ascii="Times New Roman" w:hAnsi="Times New Roman" w:cs="Times New Roman"/>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DB8E45" w14:textId="77777777" w:rsidR="00AB7D8C" w:rsidRPr="00CE1CB0" w:rsidRDefault="00AB7D8C" w:rsidP="00DD1076">
      <w:pPr>
        <w:pStyle w:val="Nagwek2"/>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Zakres procedur</w:t>
      </w:r>
    </w:p>
    <w:p w14:paraId="7EEDBBAA" w14:textId="5FCBA30B" w:rsidR="00AB7D8C" w:rsidRPr="00CE1CB0" w:rsidRDefault="00AB7D8C" w:rsidP="00E80E71">
      <w:pPr>
        <w:tabs>
          <w:tab w:val="left" w:pos="-3060"/>
        </w:tabs>
        <w:spacing w:after="0"/>
        <w:jc w:val="center"/>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0145575B" w14:textId="7C822B23" w:rsidR="00AB7D8C" w:rsidRPr="00CE1CB0" w:rsidRDefault="00AB7D8C" w:rsidP="00F2310E">
      <w:pPr>
        <w:pStyle w:val="Akapitzlist"/>
        <w:numPr>
          <w:ilvl w:val="0"/>
          <w:numId w:val="9"/>
        </w:numPr>
        <w:spacing w:after="0"/>
        <w:ind w:left="426" w:hanging="349"/>
        <w:jc w:val="both"/>
        <w:rPr>
          <w:rFonts w:ascii="Times New Roman" w:hAnsi="Times New Roman" w:cs="Times New Roman"/>
        </w:rPr>
      </w:pPr>
      <w:r w:rsidRPr="00CE1CB0">
        <w:rPr>
          <w:rFonts w:ascii="Times New Roman" w:hAnsi="Times New Roman" w:cs="Times New Roman"/>
        </w:rPr>
        <w:t xml:space="preserve">Procedury obejmują zasady ustalania i zmiany </w:t>
      </w:r>
      <w:r w:rsidR="00001D92" w:rsidRPr="00CE1CB0">
        <w:rPr>
          <w:rFonts w:ascii="Times New Roman" w:hAnsi="Times New Roman" w:cs="Times New Roman"/>
        </w:rPr>
        <w:t>niebudzących wątpliwości</w:t>
      </w:r>
      <w:r w:rsidRPr="00CE1CB0">
        <w:rPr>
          <w:rFonts w:ascii="Times New Roman" w:hAnsi="Times New Roman" w:cs="Times New Roman"/>
        </w:rPr>
        <w:t xml:space="preserve"> inte</w:t>
      </w:r>
      <w:r w:rsidR="00AE4822" w:rsidRPr="00CE1CB0">
        <w:rPr>
          <w:rFonts w:ascii="Times New Roman" w:hAnsi="Times New Roman" w:cs="Times New Roman"/>
        </w:rPr>
        <w:t>rpretacyjnych kryteriów wyboru g</w:t>
      </w:r>
      <w:r w:rsidRPr="00CE1CB0">
        <w:rPr>
          <w:rFonts w:ascii="Times New Roman" w:hAnsi="Times New Roman" w:cs="Times New Roman"/>
        </w:rPr>
        <w:t xml:space="preserve">rantobiorców w ramach projektów grantowych </w:t>
      </w:r>
    </w:p>
    <w:p w14:paraId="5C34F56E" w14:textId="77777777" w:rsidR="00AB7D8C" w:rsidRPr="00CE1CB0" w:rsidRDefault="00AB7D8C" w:rsidP="00E80E71">
      <w:pPr>
        <w:pStyle w:val="Akapitzlist"/>
        <w:spacing w:after="0"/>
        <w:ind w:left="360"/>
        <w:jc w:val="both"/>
        <w:rPr>
          <w:rFonts w:ascii="Times New Roman" w:hAnsi="Times New Roman" w:cs="Times New Roman"/>
        </w:rPr>
      </w:pPr>
    </w:p>
    <w:p w14:paraId="76B85FB7" w14:textId="77777777" w:rsidR="00AB7D8C" w:rsidRPr="00CE1CB0" w:rsidRDefault="00AB7D8C" w:rsidP="00DD1076">
      <w:pPr>
        <w:pStyle w:val="Nagwek2"/>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Kryteria</w:t>
      </w:r>
    </w:p>
    <w:p w14:paraId="1A3CE439" w14:textId="5D88A22E" w:rsidR="00AB7D8C" w:rsidRPr="00CE1CB0" w:rsidRDefault="00AB7D8C" w:rsidP="00E80E71">
      <w:pPr>
        <w:tabs>
          <w:tab w:val="left" w:pos="-3060"/>
        </w:tabs>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2D0C122F" w14:textId="203B7F1A" w:rsidR="00AB7D8C" w:rsidRPr="00CE1CB0" w:rsidRDefault="00AB7D8C" w:rsidP="00F2310E">
      <w:pPr>
        <w:pStyle w:val="Akapitzlist"/>
        <w:numPr>
          <w:ilvl w:val="0"/>
          <w:numId w:val="1"/>
        </w:numPr>
        <w:spacing w:after="0"/>
        <w:ind w:left="426" w:hanging="427"/>
        <w:jc w:val="both"/>
        <w:rPr>
          <w:rFonts w:ascii="Times New Roman" w:hAnsi="Times New Roman" w:cs="Times New Roman"/>
        </w:rPr>
      </w:pPr>
      <w:r w:rsidRPr="00CE1CB0">
        <w:rPr>
          <w:rFonts w:ascii="Times New Roman" w:hAnsi="Times New Roman" w:cs="Times New Roman"/>
        </w:rPr>
        <w:t xml:space="preserve">LGD dokonuje wyboru </w:t>
      </w:r>
      <w:r w:rsidR="00021235" w:rsidRPr="00CE1CB0">
        <w:rPr>
          <w:rFonts w:ascii="Times New Roman" w:hAnsi="Times New Roman" w:cs="Times New Roman"/>
        </w:rPr>
        <w:t>grantobiorcy</w:t>
      </w:r>
      <w:r w:rsidRPr="00CE1CB0">
        <w:rPr>
          <w:rFonts w:ascii="Times New Roman" w:hAnsi="Times New Roman" w:cs="Times New Roman"/>
        </w:rPr>
        <w:t xml:space="preserve"> spośród </w:t>
      </w:r>
      <w:r w:rsidR="00AE4822" w:rsidRPr="00CE1CB0">
        <w:rPr>
          <w:rFonts w:ascii="Times New Roman" w:hAnsi="Times New Roman" w:cs="Times New Roman"/>
        </w:rPr>
        <w:t>wniosków</w:t>
      </w:r>
      <w:r w:rsidRPr="00CE1CB0">
        <w:rPr>
          <w:rFonts w:ascii="Times New Roman" w:hAnsi="Times New Roman" w:cs="Times New Roman"/>
        </w:rPr>
        <w:t xml:space="preserve">, które spełniających </w:t>
      </w:r>
      <w:r w:rsidR="00001D92" w:rsidRPr="00CE1CB0">
        <w:rPr>
          <w:rFonts w:ascii="Times New Roman" w:hAnsi="Times New Roman" w:cs="Times New Roman"/>
        </w:rPr>
        <w:t>warunki,</w:t>
      </w:r>
      <w:r w:rsidRPr="00CE1CB0">
        <w:rPr>
          <w:rFonts w:ascii="Times New Roman" w:hAnsi="Times New Roman" w:cs="Times New Roman"/>
        </w:rPr>
        <w:t xml:space="preserve"> o których mowa w art. 21 ust. 1 pkt </w:t>
      </w:r>
      <w:r w:rsidR="00001D92" w:rsidRPr="00CE1CB0">
        <w:rPr>
          <w:rFonts w:ascii="Times New Roman" w:hAnsi="Times New Roman" w:cs="Times New Roman"/>
        </w:rPr>
        <w:t>1, ustawy</w:t>
      </w:r>
      <w:r w:rsidRPr="00CE1CB0">
        <w:rPr>
          <w:rFonts w:ascii="Times New Roman" w:hAnsi="Times New Roman" w:cs="Times New Roman"/>
        </w:rPr>
        <w:t xml:space="preserve"> RLKS przy zastosowaniu kryteriów wyboru</w:t>
      </w:r>
      <w:r w:rsidR="00021235" w:rsidRPr="00CE1CB0">
        <w:rPr>
          <w:rFonts w:ascii="Times New Roman" w:hAnsi="Times New Roman" w:cs="Times New Roman"/>
        </w:rPr>
        <w:t xml:space="preserve"> grantobiorców</w:t>
      </w:r>
      <w:r w:rsidRPr="00CE1CB0">
        <w:rPr>
          <w:rFonts w:ascii="Times New Roman" w:hAnsi="Times New Roman" w:cs="Times New Roman"/>
        </w:rPr>
        <w:t xml:space="preserve">, które są ustalane przez LGD. </w:t>
      </w:r>
    </w:p>
    <w:p w14:paraId="432266BF" w14:textId="77777777" w:rsidR="00AB7D8C" w:rsidRPr="00CE1CB0" w:rsidRDefault="00AB7D8C" w:rsidP="00F2310E">
      <w:pPr>
        <w:pStyle w:val="Akapitzlist"/>
        <w:numPr>
          <w:ilvl w:val="0"/>
          <w:numId w:val="1"/>
        </w:numPr>
        <w:spacing w:after="0"/>
        <w:ind w:left="426" w:hanging="427"/>
        <w:jc w:val="both"/>
        <w:rPr>
          <w:rFonts w:ascii="Times New Roman" w:hAnsi="Times New Roman" w:cs="Times New Roman"/>
        </w:rPr>
      </w:pPr>
      <w:r w:rsidRPr="00CE1CB0">
        <w:rPr>
          <w:rFonts w:ascii="Times New Roman" w:hAnsi="Times New Roman" w:cs="Times New Roman"/>
        </w:rPr>
        <w:t xml:space="preserve">LGD stosuje rankingujące kryteria </w:t>
      </w:r>
      <w:r w:rsidR="00AE4822" w:rsidRPr="00CE1CB0">
        <w:rPr>
          <w:rFonts w:ascii="Times New Roman" w:hAnsi="Times New Roman" w:cs="Times New Roman"/>
        </w:rPr>
        <w:t>wyboru</w:t>
      </w:r>
      <w:r w:rsidR="00021235" w:rsidRPr="00CE1CB0">
        <w:rPr>
          <w:rFonts w:ascii="Times New Roman" w:hAnsi="Times New Roman" w:cs="Times New Roman"/>
        </w:rPr>
        <w:t xml:space="preserve"> grantobiorców</w:t>
      </w:r>
      <w:r w:rsidRPr="00CE1CB0">
        <w:rPr>
          <w:rFonts w:ascii="Times New Roman" w:hAnsi="Times New Roman" w:cs="Times New Roman"/>
        </w:rPr>
        <w:t xml:space="preserve"> czyli premiujące </w:t>
      </w:r>
      <w:r w:rsidR="00AE4822" w:rsidRPr="00CE1CB0">
        <w:rPr>
          <w:rFonts w:ascii="Times New Roman" w:hAnsi="Times New Roman" w:cs="Times New Roman"/>
        </w:rPr>
        <w:t>wnioski</w:t>
      </w:r>
      <w:r w:rsidRPr="00CE1CB0">
        <w:rPr>
          <w:rFonts w:ascii="Times New Roman" w:hAnsi="Times New Roman" w:cs="Times New Roman"/>
        </w:rPr>
        <w:t xml:space="preserve"> o określonym charakterze.</w:t>
      </w:r>
    </w:p>
    <w:p w14:paraId="19CC86C7" w14:textId="76766A20" w:rsidR="00AB7D8C" w:rsidRPr="00CE1CB0" w:rsidRDefault="00AB7D8C" w:rsidP="00F2310E">
      <w:pPr>
        <w:pStyle w:val="Akapitzlist"/>
        <w:numPr>
          <w:ilvl w:val="0"/>
          <w:numId w:val="1"/>
        </w:numPr>
        <w:spacing w:after="0"/>
        <w:ind w:left="426" w:hanging="427"/>
        <w:jc w:val="both"/>
        <w:rPr>
          <w:rFonts w:ascii="Times New Roman" w:hAnsi="Times New Roman" w:cs="Times New Roman"/>
        </w:rPr>
      </w:pPr>
      <w:r w:rsidRPr="00CE1CB0">
        <w:rPr>
          <w:rFonts w:ascii="Times New Roman" w:hAnsi="Times New Roman" w:cs="Times New Roman"/>
        </w:rPr>
        <w:t xml:space="preserve">LGD ustala minimum punktowe w wysokości </w:t>
      </w:r>
      <w:r w:rsidR="00E42869">
        <w:rPr>
          <w:rFonts w:ascii="Times New Roman" w:hAnsi="Times New Roman" w:cs="Times New Roman"/>
        </w:rPr>
        <w:t xml:space="preserve">30 </w:t>
      </w:r>
      <w:r w:rsidRPr="00CE1CB0">
        <w:rPr>
          <w:rFonts w:ascii="Times New Roman" w:hAnsi="Times New Roman" w:cs="Times New Roman"/>
        </w:rPr>
        <w:t>% całkowitej liczby punktów, o wartości zaokrąglonej w dół.</w:t>
      </w:r>
    </w:p>
    <w:p w14:paraId="565B4E84" w14:textId="7C76E8ED" w:rsidR="008954DC" w:rsidRDefault="008954DC" w:rsidP="00F2310E">
      <w:pPr>
        <w:pStyle w:val="Akapitzlist"/>
        <w:numPr>
          <w:ilvl w:val="0"/>
          <w:numId w:val="1"/>
        </w:numPr>
        <w:spacing w:after="0"/>
        <w:ind w:left="426" w:hanging="427"/>
        <w:jc w:val="both"/>
        <w:rPr>
          <w:rFonts w:ascii="Times New Roman" w:hAnsi="Times New Roman" w:cs="Times New Roman"/>
        </w:rPr>
      </w:pPr>
      <w:r w:rsidRPr="00CE1CB0">
        <w:rPr>
          <w:rFonts w:ascii="Times New Roman" w:hAnsi="Times New Roman" w:cs="Times New Roman"/>
        </w:rPr>
        <w:t xml:space="preserve">LGD zapewnia zastosowanie co najmniej dwóch kryteriów wyboru </w:t>
      </w:r>
      <w:r w:rsidR="00F24693" w:rsidRPr="00227E6F">
        <w:rPr>
          <w:rFonts w:ascii="Times New Roman" w:hAnsi="Times New Roman" w:cs="Times New Roman"/>
        </w:rPr>
        <w:t>grantobiorców</w:t>
      </w:r>
      <w:r w:rsidRPr="00CE1CB0">
        <w:rPr>
          <w:rFonts w:ascii="Times New Roman" w:hAnsi="Times New Roman" w:cs="Times New Roman"/>
        </w:rPr>
        <w:t xml:space="preserve"> o charakterze rankingującym zawartych w Wytycznych szczegółowych</w:t>
      </w:r>
      <w:r w:rsidR="00F24693">
        <w:rPr>
          <w:rFonts w:ascii="Times New Roman" w:hAnsi="Times New Roman" w:cs="Times New Roman"/>
        </w:rPr>
        <w:t xml:space="preserve"> </w:t>
      </w:r>
      <w:r w:rsidRPr="00CE1CB0">
        <w:rPr>
          <w:rFonts w:ascii="Times New Roman" w:hAnsi="Times New Roman" w:cs="Times New Roman"/>
        </w:rPr>
        <w:t>w zakresie przyznawania i wypłaty pomocy finansowej w ramach Planu Strategicznego dla Wspólnej Polityki Rolnej na lata 2023-2027 dla interwencji I.13.1 LEADER/Rozwój Lokalny Kierowany przez Społeczność (RLKS) - komponent Wdrażanie LSR.</w:t>
      </w:r>
    </w:p>
    <w:p w14:paraId="1ED7A065" w14:textId="77777777" w:rsidR="000F1959" w:rsidRDefault="000F1959" w:rsidP="00F2310E">
      <w:pPr>
        <w:pStyle w:val="Akapitzlist"/>
        <w:numPr>
          <w:ilvl w:val="0"/>
          <w:numId w:val="1"/>
        </w:numPr>
        <w:spacing w:after="0"/>
        <w:ind w:left="426" w:hanging="427"/>
        <w:jc w:val="both"/>
        <w:rPr>
          <w:rFonts w:ascii="Times New Roman" w:hAnsi="Times New Roman" w:cs="Times New Roman"/>
        </w:rPr>
      </w:pPr>
      <w:r w:rsidRPr="000F1959">
        <w:rPr>
          <w:rFonts w:ascii="Times New Roman" w:hAnsi="Times New Roman" w:cs="Times New Roman"/>
        </w:rPr>
        <w:t xml:space="preserve">LGD </w:t>
      </w:r>
      <w:r>
        <w:rPr>
          <w:rFonts w:ascii="Times New Roman" w:hAnsi="Times New Roman" w:cs="Times New Roman"/>
        </w:rPr>
        <w:t>stosuje</w:t>
      </w:r>
      <w:r w:rsidRPr="000F1959">
        <w:rPr>
          <w:rFonts w:ascii="Times New Roman" w:hAnsi="Times New Roman" w:cs="Times New Roman"/>
        </w:rPr>
        <w:t xml:space="preserve"> </w:t>
      </w:r>
      <w:r w:rsidRPr="000F1959">
        <w:rPr>
          <w:rFonts w:ascii="Times New Roman" w:hAnsi="Times New Roman" w:cs="Times New Roman"/>
        </w:rPr>
        <w:t>kryterium zapewniającego, że nie zostaną wybrani</w:t>
      </w:r>
      <w:r>
        <w:rPr>
          <w:rFonts w:ascii="Times New Roman" w:hAnsi="Times New Roman" w:cs="Times New Roman"/>
        </w:rPr>
        <w:t xml:space="preserve"> </w:t>
      </w:r>
      <w:r w:rsidRPr="000F1959">
        <w:rPr>
          <w:rFonts w:ascii="Times New Roman" w:hAnsi="Times New Roman" w:cs="Times New Roman"/>
        </w:rPr>
        <w:t>grantobiorcy:</w:t>
      </w:r>
    </w:p>
    <w:p w14:paraId="4D5B56E8" w14:textId="6FEBA306" w:rsidR="000F1959" w:rsidRPr="000F1959" w:rsidRDefault="000F1959" w:rsidP="00F2310E">
      <w:pPr>
        <w:pStyle w:val="Akapitzlist"/>
        <w:numPr>
          <w:ilvl w:val="0"/>
          <w:numId w:val="18"/>
        </w:numPr>
        <w:spacing w:after="0"/>
        <w:jc w:val="both"/>
        <w:rPr>
          <w:rFonts w:ascii="Times New Roman" w:hAnsi="Times New Roman" w:cs="Times New Roman"/>
        </w:rPr>
      </w:pPr>
      <w:r w:rsidRPr="000F1959">
        <w:rPr>
          <w:rFonts w:ascii="Times New Roman" w:hAnsi="Times New Roman" w:cs="Times New Roman"/>
        </w:rPr>
        <w:t>będący osobami fizycznymi realizującymi działania związane z</w:t>
      </w:r>
      <w:r>
        <w:rPr>
          <w:rFonts w:ascii="Times New Roman" w:hAnsi="Times New Roman" w:cs="Times New Roman"/>
        </w:rPr>
        <w:t xml:space="preserve"> </w:t>
      </w:r>
      <w:r w:rsidRPr="000F1959">
        <w:rPr>
          <w:rFonts w:ascii="Times New Roman" w:hAnsi="Times New Roman" w:cs="Times New Roman"/>
        </w:rPr>
        <w:t>wdrażaniem LSR, zatrudnionymi przez LGD lub będący osobami</w:t>
      </w:r>
      <w:r>
        <w:rPr>
          <w:rFonts w:ascii="Times New Roman" w:hAnsi="Times New Roman" w:cs="Times New Roman"/>
        </w:rPr>
        <w:t xml:space="preserve"> </w:t>
      </w:r>
      <w:r w:rsidRPr="000F1959">
        <w:rPr>
          <w:rFonts w:ascii="Times New Roman" w:hAnsi="Times New Roman" w:cs="Times New Roman"/>
        </w:rPr>
        <w:t>fizycznymi pełniącymi funkcję członków Zarządu LGD,</w:t>
      </w:r>
    </w:p>
    <w:p w14:paraId="5C936C4B" w14:textId="7D94149B" w:rsidR="000F1959" w:rsidRPr="000F1959" w:rsidRDefault="000F1959" w:rsidP="00F2310E">
      <w:pPr>
        <w:pStyle w:val="Akapitzlist"/>
        <w:numPr>
          <w:ilvl w:val="0"/>
          <w:numId w:val="18"/>
        </w:numPr>
        <w:spacing w:after="0"/>
        <w:jc w:val="both"/>
        <w:rPr>
          <w:rFonts w:ascii="Times New Roman" w:hAnsi="Times New Roman" w:cs="Times New Roman"/>
        </w:rPr>
      </w:pPr>
      <w:r w:rsidRPr="000F1959">
        <w:rPr>
          <w:rFonts w:ascii="Times New Roman" w:hAnsi="Times New Roman" w:cs="Times New Roman"/>
        </w:rPr>
        <w:t>w których osoby, o których mowa w tiret pierwsze są wspólnikami spółek</w:t>
      </w:r>
      <w:r w:rsidRPr="000F1959">
        <w:rPr>
          <w:rFonts w:ascii="Times New Roman" w:hAnsi="Times New Roman" w:cs="Times New Roman"/>
        </w:rPr>
        <w:t xml:space="preserve"> </w:t>
      </w:r>
      <w:r w:rsidRPr="000F1959">
        <w:rPr>
          <w:rFonts w:ascii="Times New Roman" w:hAnsi="Times New Roman" w:cs="Times New Roman"/>
        </w:rPr>
        <w:t>prawa handlowego lub prowadzą działalność w formie spółki cywilnej</w:t>
      </w:r>
      <w:r>
        <w:rPr>
          <w:rFonts w:ascii="Times New Roman" w:hAnsi="Times New Roman" w:cs="Times New Roman"/>
        </w:rPr>
        <w:t>.</w:t>
      </w:r>
    </w:p>
    <w:p w14:paraId="07E01013" w14:textId="77777777" w:rsidR="00AB7D8C" w:rsidRPr="00CE1CB0" w:rsidRDefault="00AB7D8C" w:rsidP="00E80E71">
      <w:pPr>
        <w:pStyle w:val="Akapitzlist"/>
        <w:spacing w:after="0"/>
        <w:ind w:left="426"/>
        <w:jc w:val="both"/>
        <w:rPr>
          <w:rFonts w:ascii="Times New Roman" w:hAnsi="Times New Roman" w:cs="Times New Roman"/>
        </w:rPr>
      </w:pPr>
    </w:p>
    <w:p w14:paraId="39D54E84" w14:textId="7E95FDF3"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4731FED6" w14:textId="644B730C" w:rsidR="00AB7D8C" w:rsidRPr="00CE1CB0" w:rsidRDefault="00AB7D8C" w:rsidP="00F2310E">
      <w:pPr>
        <w:pStyle w:val="Akapitzlist"/>
        <w:numPr>
          <w:ilvl w:val="0"/>
          <w:numId w:val="2"/>
        </w:numPr>
        <w:spacing w:after="0"/>
        <w:ind w:left="426" w:hanging="427"/>
        <w:jc w:val="both"/>
        <w:rPr>
          <w:rFonts w:ascii="Times New Roman" w:hAnsi="Times New Roman" w:cs="Times New Roman"/>
        </w:rPr>
      </w:pPr>
      <w:r w:rsidRPr="00CE1CB0">
        <w:rPr>
          <w:rFonts w:ascii="Times New Roman" w:hAnsi="Times New Roman" w:cs="Times New Roman"/>
        </w:rPr>
        <w:t>Projekt kryteriów przygotowywany jest przez grupę roboczą w skład której wchodzą przedstawiciele Zarządu LGD</w:t>
      </w:r>
      <w:r w:rsidR="00942793" w:rsidRPr="00CE1CB0">
        <w:rPr>
          <w:rFonts w:ascii="Times New Roman" w:hAnsi="Times New Roman" w:cs="Times New Roman"/>
        </w:rPr>
        <w:t xml:space="preserve"> </w:t>
      </w:r>
      <w:r w:rsidRPr="00CE1CB0">
        <w:rPr>
          <w:rFonts w:ascii="Times New Roman" w:hAnsi="Times New Roman" w:cs="Times New Roman"/>
        </w:rPr>
        <w:t>oraz Biura LGD.</w:t>
      </w:r>
    </w:p>
    <w:p w14:paraId="640A2C42" w14:textId="77777777" w:rsidR="00AB7D8C" w:rsidRPr="00CE1CB0" w:rsidRDefault="00AB7D8C" w:rsidP="00F2310E">
      <w:pPr>
        <w:pStyle w:val="Akapitzlist"/>
        <w:numPr>
          <w:ilvl w:val="0"/>
          <w:numId w:val="2"/>
        </w:numPr>
        <w:spacing w:after="0"/>
        <w:ind w:left="426" w:hanging="427"/>
        <w:jc w:val="both"/>
        <w:rPr>
          <w:rFonts w:ascii="Times New Roman" w:hAnsi="Times New Roman" w:cs="Times New Roman"/>
        </w:rPr>
      </w:pPr>
      <w:r w:rsidRPr="00CE1CB0">
        <w:rPr>
          <w:rFonts w:ascii="Times New Roman" w:hAnsi="Times New Roman" w:cs="Times New Roman"/>
        </w:rPr>
        <w:t>Projekt kryteriów poddany jest konsultacjom społecznym w formie:</w:t>
      </w:r>
    </w:p>
    <w:p w14:paraId="7550DBFB" w14:textId="77777777" w:rsidR="00AB7D8C" w:rsidRPr="00CE1CB0" w:rsidRDefault="00AB7D8C" w:rsidP="00F2310E">
      <w:pPr>
        <w:pStyle w:val="Akapitzlist"/>
        <w:numPr>
          <w:ilvl w:val="2"/>
          <w:numId w:val="10"/>
        </w:numPr>
        <w:spacing w:after="0"/>
        <w:ind w:left="851"/>
        <w:jc w:val="both"/>
        <w:rPr>
          <w:rFonts w:ascii="Times New Roman" w:hAnsi="Times New Roman" w:cs="Times New Roman"/>
        </w:rPr>
      </w:pPr>
      <w:r w:rsidRPr="00CE1CB0">
        <w:rPr>
          <w:rFonts w:ascii="Times New Roman" w:hAnsi="Times New Roman" w:cs="Times New Roman"/>
        </w:rPr>
        <w:t>zamieszczenia na stronie internetowej LGD</w:t>
      </w:r>
      <w:r w:rsidR="003176F5" w:rsidRPr="00CE1CB0">
        <w:rPr>
          <w:rFonts w:ascii="Times New Roman" w:hAnsi="Times New Roman" w:cs="Times New Roman"/>
        </w:rPr>
        <w:t xml:space="preserve"> z określeniem kanałów komunikacji zwrotnej</w:t>
      </w:r>
      <w:r w:rsidRPr="00CE1CB0">
        <w:rPr>
          <w:rFonts w:ascii="Times New Roman" w:hAnsi="Times New Roman" w:cs="Times New Roman"/>
        </w:rPr>
        <w:t>;</w:t>
      </w:r>
    </w:p>
    <w:p w14:paraId="3A141DA0" w14:textId="77777777" w:rsidR="00AB7D8C" w:rsidRPr="00CE1CB0" w:rsidRDefault="00AB7D8C" w:rsidP="00F2310E">
      <w:pPr>
        <w:pStyle w:val="Akapitzlist"/>
        <w:numPr>
          <w:ilvl w:val="2"/>
          <w:numId w:val="10"/>
        </w:numPr>
        <w:spacing w:after="0"/>
        <w:ind w:left="851"/>
        <w:jc w:val="both"/>
        <w:rPr>
          <w:rFonts w:ascii="Times New Roman" w:hAnsi="Times New Roman" w:cs="Times New Roman"/>
        </w:rPr>
      </w:pPr>
      <w:r w:rsidRPr="00CE1CB0">
        <w:rPr>
          <w:rFonts w:ascii="Times New Roman" w:hAnsi="Times New Roman" w:cs="Times New Roman"/>
        </w:rPr>
        <w:t>przeprowadzenia ankiety</w:t>
      </w:r>
      <w:r w:rsidR="003176F5" w:rsidRPr="00CE1CB0">
        <w:rPr>
          <w:rFonts w:ascii="Times New Roman" w:hAnsi="Times New Roman" w:cs="Times New Roman"/>
        </w:rPr>
        <w:t>, w tym ankiety internetowej</w:t>
      </w:r>
      <w:r w:rsidRPr="00CE1CB0">
        <w:rPr>
          <w:rFonts w:ascii="Times New Roman" w:hAnsi="Times New Roman" w:cs="Times New Roman"/>
        </w:rPr>
        <w:t>;</w:t>
      </w:r>
    </w:p>
    <w:p w14:paraId="30C15D44" w14:textId="77777777" w:rsidR="00AB7D8C" w:rsidRPr="00CE1CB0" w:rsidRDefault="00AB7D8C" w:rsidP="00F2310E">
      <w:pPr>
        <w:pStyle w:val="Akapitzlist"/>
        <w:numPr>
          <w:ilvl w:val="2"/>
          <w:numId w:val="10"/>
        </w:numPr>
        <w:spacing w:after="0"/>
        <w:ind w:left="851"/>
        <w:jc w:val="both"/>
        <w:rPr>
          <w:rFonts w:ascii="Times New Roman" w:hAnsi="Times New Roman" w:cs="Times New Roman"/>
        </w:rPr>
      </w:pPr>
      <w:r w:rsidRPr="00CE1CB0">
        <w:rPr>
          <w:rFonts w:ascii="Times New Roman" w:hAnsi="Times New Roman" w:cs="Times New Roman"/>
        </w:rPr>
        <w:t>bezpośrednich spotkań z mieszkańcami.</w:t>
      </w:r>
    </w:p>
    <w:p w14:paraId="0523C0E4" w14:textId="779E9D0A" w:rsidR="00AB7D8C" w:rsidRPr="00CE1CB0" w:rsidRDefault="00AB7D8C" w:rsidP="00F2310E">
      <w:pPr>
        <w:pStyle w:val="Akapitzlist"/>
        <w:numPr>
          <w:ilvl w:val="0"/>
          <w:numId w:val="2"/>
        </w:numPr>
        <w:spacing w:after="0"/>
        <w:ind w:left="426" w:hanging="427"/>
        <w:jc w:val="both"/>
        <w:rPr>
          <w:rFonts w:ascii="Times New Roman" w:hAnsi="Times New Roman" w:cs="Times New Roman"/>
        </w:rPr>
      </w:pPr>
      <w:r w:rsidRPr="00CE1CB0">
        <w:rPr>
          <w:rFonts w:ascii="Times New Roman" w:hAnsi="Times New Roman" w:cs="Times New Roman"/>
        </w:rPr>
        <w:lastRenderedPageBreak/>
        <w:t>Warunek opisany w §</w:t>
      </w:r>
      <w:r w:rsidR="00556626" w:rsidRPr="00CE1CB0">
        <w:rPr>
          <w:rFonts w:ascii="Times New Roman" w:hAnsi="Times New Roman" w:cs="Times New Roman"/>
        </w:rPr>
        <w:t>33</w:t>
      </w:r>
      <w:r w:rsidRPr="00CE1CB0">
        <w:rPr>
          <w:rFonts w:ascii="Times New Roman" w:hAnsi="Times New Roman" w:cs="Times New Roman"/>
        </w:rPr>
        <w:t xml:space="preserve"> pkt. </w:t>
      </w:r>
      <w:r w:rsidR="00001D92" w:rsidRPr="00CE1CB0">
        <w:rPr>
          <w:rFonts w:ascii="Times New Roman" w:hAnsi="Times New Roman" w:cs="Times New Roman"/>
        </w:rPr>
        <w:t>2 uznaje</w:t>
      </w:r>
      <w:r w:rsidRPr="00CE1CB0">
        <w:rPr>
          <w:rFonts w:ascii="Times New Roman" w:hAnsi="Times New Roman" w:cs="Times New Roman"/>
        </w:rPr>
        <w:t xml:space="preserve"> się za </w:t>
      </w:r>
      <w:r w:rsidR="00001D92" w:rsidRPr="00CE1CB0">
        <w:rPr>
          <w:rFonts w:ascii="Times New Roman" w:hAnsi="Times New Roman" w:cs="Times New Roman"/>
        </w:rPr>
        <w:t>spełniony,</w:t>
      </w:r>
      <w:r w:rsidRPr="00CE1CB0">
        <w:rPr>
          <w:rFonts w:ascii="Times New Roman" w:hAnsi="Times New Roman" w:cs="Times New Roman"/>
        </w:rPr>
        <w:t xml:space="preserve"> jeśli zastosowano co najmniej jedną z form opisanych w §</w:t>
      </w:r>
      <w:r w:rsidR="00556626" w:rsidRPr="00CE1CB0">
        <w:rPr>
          <w:rFonts w:ascii="Times New Roman" w:hAnsi="Times New Roman" w:cs="Times New Roman"/>
        </w:rPr>
        <w:t>33</w:t>
      </w:r>
      <w:r w:rsidRPr="00CE1CB0">
        <w:rPr>
          <w:rFonts w:ascii="Times New Roman" w:hAnsi="Times New Roman" w:cs="Times New Roman"/>
        </w:rPr>
        <w:t xml:space="preserve"> pkt. 2 a) – c</w:t>
      </w:r>
      <w:r w:rsidR="00001D92" w:rsidRPr="00CE1CB0">
        <w:rPr>
          <w:rFonts w:ascii="Times New Roman" w:hAnsi="Times New Roman" w:cs="Times New Roman"/>
        </w:rPr>
        <w:t>).</w:t>
      </w:r>
    </w:p>
    <w:p w14:paraId="47AB8D5F" w14:textId="77777777" w:rsidR="00AB7D8C" w:rsidRPr="00CE1CB0" w:rsidRDefault="00AB7D8C" w:rsidP="00F2310E">
      <w:pPr>
        <w:pStyle w:val="Akapitzlist"/>
        <w:numPr>
          <w:ilvl w:val="0"/>
          <w:numId w:val="2"/>
        </w:numPr>
        <w:spacing w:after="0"/>
        <w:ind w:left="426" w:hanging="427"/>
        <w:jc w:val="both"/>
        <w:rPr>
          <w:rFonts w:ascii="Times New Roman" w:hAnsi="Times New Roman" w:cs="Times New Roman"/>
        </w:rPr>
      </w:pPr>
      <w:r w:rsidRPr="00CE1CB0">
        <w:rPr>
          <w:rFonts w:ascii="Times New Roman" w:hAnsi="Times New Roman" w:cs="Times New Roman"/>
        </w:rPr>
        <w:t>Zmiana kryteriów wymaga przeprowadzenia konsultacji opisanych w §</w:t>
      </w:r>
      <w:r w:rsidR="00556626" w:rsidRPr="00CE1CB0">
        <w:rPr>
          <w:rFonts w:ascii="Times New Roman" w:hAnsi="Times New Roman" w:cs="Times New Roman"/>
        </w:rPr>
        <w:t>33</w:t>
      </w:r>
      <w:r w:rsidRPr="00CE1CB0">
        <w:rPr>
          <w:rFonts w:ascii="Times New Roman" w:hAnsi="Times New Roman" w:cs="Times New Roman"/>
        </w:rPr>
        <w:t xml:space="preserve"> pkt. 2</w:t>
      </w:r>
      <w:r w:rsidR="00BB123F" w:rsidRPr="00CE1CB0">
        <w:rPr>
          <w:rFonts w:ascii="Times New Roman" w:hAnsi="Times New Roman" w:cs="Times New Roman"/>
        </w:rPr>
        <w:t xml:space="preserve"> i 3</w:t>
      </w:r>
      <w:r w:rsidRPr="00CE1CB0">
        <w:rPr>
          <w:rFonts w:ascii="Times New Roman" w:hAnsi="Times New Roman" w:cs="Times New Roman"/>
        </w:rPr>
        <w:t xml:space="preserve">.  </w:t>
      </w:r>
    </w:p>
    <w:p w14:paraId="1B5B453D" w14:textId="77777777" w:rsidR="00AB7D8C" w:rsidRPr="00CE1CB0" w:rsidRDefault="00AB7D8C" w:rsidP="00E80E71">
      <w:pPr>
        <w:pStyle w:val="Akapitzlist"/>
        <w:spacing w:after="0"/>
        <w:ind w:left="426"/>
        <w:jc w:val="both"/>
        <w:rPr>
          <w:rFonts w:ascii="Times New Roman" w:hAnsi="Times New Roman" w:cs="Times New Roman"/>
        </w:rPr>
      </w:pPr>
    </w:p>
    <w:p w14:paraId="177BF2D4" w14:textId="4D352911"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091F754D" w14:textId="23EF6BDA" w:rsidR="00AB7D8C" w:rsidRPr="00CE1CB0" w:rsidRDefault="00AB7D8C" w:rsidP="00F2310E">
      <w:pPr>
        <w:pStyle w:val="Akapitzlist"/>
        <w:numPr>
          <w:ilvl w:val="0"/>
          <w:numId w:val="3"/>
        </w:numPr>
        <w:spacing w:after="0"/>
        <w:ind w:left="426"/>
        <w:jc w:val="both"/>
        <w:rPr>
          <w:rFonts w:ascii="Times New Roman" w:hAnsi="Times New Roman" w:cs="Times New Roman"/>
        </w:rPr>
      </w:pPr>
      <w:r w:rsidRPr="00CE1CB0">
        <w:rPr>
          <w:rFonts w:ascii="Times New Roman" w:hAnsi="Times New Roman" w:cs="Times New Roman"/>
        </w:rPr>
        <w:t>Po uwzględnieniu wyników konsultacji społecznych kryteria</w:t>
      </w:r>
      <w:r w:rsidR="00CB6766" w:rsidRPr="00CE1CB0">
        <w:rPr>
          <w:rFonts w:ascii="Times New Roman" w:hAnsi="Times New Roman" w:cs="Times New Roman"/>
        </w:rPr>
        <w:t xml:space="preserve"> oraz ich zmiany</w:t>
      </w:r>
      <w:r w:rsidRPr="00CE1CB0">
        <w:rPr>
          <w:rFonts w:ascii="Times New Roman" w:hAnsi="Times New Roman" w:cs="Times New Roman"/>
        </w:rPr>
        <w:t xml:space="preserve"> zatwierdzane są przez </w:t>
      </w:r>
      <w:r w:rsidR="00CB6766" w:rsidRPr="00CE1CB0">
        <w:rPr>
          <w:rFonts w:ascii="Times New Roman" w:hAnsi="Times New Roman" w:cs="Times New Roman"/>
        </w:rPr>
        <w:t>Zarząd</w:t>
      </w:r>
      <w:r w:rsidRPr="00CE1CB0">
        <w:rPr>
          <w:rFonts w:ascii="Times New Roman" w:hAnsi="Times New Roman" w:cs="Times New Roman"/>
        </w:rPr>
        <w:t xml:space="preserve"> LGD.</w:t>
      </w:r>
    </w:p>
    <w:p w14:paraId="3C3BBA5C" w14:textId="77777777" w:rsidR="00AB7D8C" w:rsidRPr="00CE1CB0" w:rsidRDefault="00AB7D8C" w:rsidP="00E80E71">
      <w:pPr>
        <w:spacing w:after="0"/>
        <w:jc w:val="center"/>
        <w:rPr>
          <w:rFonts w:ascii="Times New Roman" w:hAnsi="Times New Roman" w:cs="Times New Roman"/>
        </w:rPr>
      </w:pPr>
    </w:p>
    <w:p w14:paraId="5A693AF4" w14:textId="1A5A3ABF"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12079330" w14:textId="028CD49A" w:rsidR="008954DC" w:rsidRPr="00CE1CB0" w:rsidRDefault="008954DC" w:rsidP="00F2310E">
      <w:pPr>
        <w:pStyle w:val="Akapitzlist"/>
        <w:numPr>
          <w:ilvl w:val="0"/>
          <w:numId w:val="4"/>
        </w:numPr>
        <w:spacing w:after="0"/>
        <w:ind w:left="426"/>
        <w:jc w:val="both"/>
        <w:rPr>
          <w:rFonts w:ascii="Times New Roman" w:hAnsi="Times New Roman" w:cs="Times New Roman"/>
        </w:rPr>
      </w:pPr>
      <w:r w:rsidRPr="00CE1CB0">
        <w:rPr>
          <w:rFonts w:ascii="Times New Roman" w:hAnsi="Times New Roman" w:cs="Times New Roman"/>
        </w:rPr>
        <w:t xml:space="preserve">Procedura zmiany kryteriów wyboru </w:t>
      </w:r>
      <w:r w:rsidR="00F24693" w:rsidRPr="00227E6F">
        <w:rPr>
          <w:rFonts w:ascii="Times New Roman" w:hAnsi="Times New Roman" w:cs="Times New Roman"/>
        </w:rPr>
        <w:t>grantobiorców</w:t>
      </w:r>
      <w:r w:rsidRPr="00CE1CB0">
        <w:rPr>
          <w:rFonts w:ascii="Times New Roman" w:hAnsi="Times New Roman" w:cs="Times New Roman"/>
        </w:rPr>
        <w:t xml:space="preserve"> może być uruchomiona w przypadku:</w:t>
      </w:r>
    </w:p>
    <w:p w14:paraId="47A6452B" w14:textId="77777777" w:rsidR="008954DC" w:rsidRPr="00CE1CB0" w:rsidRDefault="008954DC" w:rsidP="00F2310E">
      <w:pPr>
        <w:pStyle w:val="Akapitzlist"/>
        <w:numPr>
          <w:ilvl w:val="0"/>
          <w:numId w:val="5"/>
        </w:numPr>
        <w:spacing w:after="0"/>
        <w:jc w:val="both"/>
        <w:rPr>
          <w:rFonts w:ascii="Times New Roman" w:hAnsi="Times New Roman" w:cs="Times New Roman"/>
        </w:rPr>
      </w:pPr>
      <w:r w:rsidRPr="00CE1CB0">
        <w:rPr>
          <w:rFonts w:ascii="Times New Roman" w:hAnsi="Times New Roman" w:cs="Times New Roman"/>
        </w:rPr>
        <w:t>identyfikacji błędów dotyczących poszczególnych kryteriów</w:t>
      </w:r>
    </w:p>
    <w:p w14:paraId="08C554ED" w14:textId="2A476F36" w:rsidR="008954DC" w:rsidRPr="00CE1CB0" w:rsidRDefault="008954DC" w:rsidP="00F2310E">
      <w:pPr>
        <w:pStyle w:val="Akapitzlist"/>
        <w:numPr>
          <w:ilvl w:val="0"/>
          <w:numId w:val="5"/>
        </w:numPr>
        <w:spacing w:after="0"/>
        <w:jc w:val="both"/>
        <w:rPr>
          <w:rFonts w:ascii="Times New Roman" w:hAnsi="Times New Roman" w:cs="Times New Roman"/>
        </w:rPr>
      </w:pPr>
      <w:r w:rsidRPr="00CE1CB0">
        <w:rPr>
          <w:rFonts w:ascii="Times New Roman" w:hAnsi="Times New Roman" w:cs="Times New Roman"/>
        </w:rPr>
        <w:t>na wniosek</w:t>
      </w:r>
      <w:r w:rsidR="00942793" w:rsidRPr="00CE1CB0">
        <w:rPr>
          <w:rFonts w:ascii="Times New Roman" w:hAnsi="Times New Roman" w:cs="Times New Roman"/>
        </w:rPr>
        <w:t xml:space="preserve"> </w:t>
      </w:r>
      <w:r w:rsidRPr="00CE1CB0">
        <w:rPr>
          <w:rFonts w:ascii="Times New Roman" w:hAnsi="Times New Roman" w:cs="Times New Roman"/>
        </w:rPr>
        <w:t>Zarządu, po zebraniu informacji z monitoringu LSR,</w:t>
      </w:r>
    </w:p>
    <w:p w14:paraId="1557B788" w14:textId="77777777" w:rsidR="008954DC" w:rsidRPr="00CE1CB0" w:rsidRDefault="008954DC" w:rsidP="00F2310E">
      <w:pPr>
        <w:pStyle w:val="Akapitzlist"/>
        <w:numPr>
          <w:ilvl w:val="0"/>
          <w:numId w:val="5"/>
        </w:numPr>
        <w:spacing w:after="0"/>
        <w:jc w:val="both"/>
        <w:rPr>
          <w:rFonts w:ascii="Times New Roman" w:hAnsi="Times New Roman" w:cs="Times New Roman"/>
        </w:rPr>
      </w:pPr>
      <w:r w:rsidRPr="00CE1CB0">
        <w:rPr>
          <w:rFonts w:ascii="Times New Roman" w:hAnsi="Times New Roman" w:cs="Times New Roman"/>
        </w:rPr>
        <w:t>na podstawie wniosków lub rekomendacji będących efektem ewaluacji realizacji LSR,</w:t>
      </w:r>
    </w:p>
    <w:p w14:paraId="61288F0E" w14:textId="77777777" w:rsidR="008954DC" w:rsidRPr="00CE1CB0" w:rsidRDefault="008954DC" w:rsidP="00F2310E">
      <w:pPr>
        <w:pStyle w:val="Akapitzlist"/>
        <w:numPr>
          <w:ilvl w:val="0"/>
          <w:numId w:val="5"/>
        </w:numPr>
        <w:spacing w:after="0"/>
        <w:jc w:val="both"/>
        <w:rPr>
          <w:rFonts w:ascii="Times New Roman" w:hAnsi="Times New Roman" w:cs="Times New Roman"/>
        </w:rPr>
      </w:pPr>
      <w:r w:rsidRPr="00CE1CB0">
        <w:rPr>
          <w:rFonts w:ascii="Times New Roman" w:hAnsi="Times New Roman" w:cs="Times New Roman"/>
        </w:rPr>
        <w:t>w związku ze zmianą przepisów prawa,</w:t>
      </w:r>
    </w:p>
    <w:p w14:paraId="6C050432" w14:textId="77777777" w:rsidR="008954DC" w:rsidRPr="00CE1CB0" w:rsidRDefault="008954DC" w:rsidP="00F2310E">
      <w:pPr>
        <w:pStyle w:val="Akapitzlist"/>
        <w:numPr>
          <w:ilvl w:val="0"/>
          <w:numId w:val="5"/>
        </w:numPr>
        <w:spacing w:after="0"/>
        <w:jc w:val="both"/>
        <w:rPr>
          <w:rFonts w:ascii="Times New Roman" w:hAnsi="Times New Roman" w:cs="Times New Roman"/>
        </w:rPr>
      </w:pPr>
      <w:r w:rsidRPr="00CE1CB0">
        <w:rPr>
          <w:rFonts w:ascii="Times New Roman" w:hAnsi="Times New Roman" w:cs="Times New Roman"/>
        </w:rPr>
        <w:t>na podstawie rekomendacji ZW.</w:t>
      </w:r>
    </w:p>
    <w:p w14:paraId="177ED286" w14:textId="77777777" w:rsidR="00AB7D8C" w:rsidRPr="00CE1CB0" w:rsidRDefault="00AB7D8C" w:rsidP="00E80E71">
      <w:pPr>
        <w:pStyle w:val="Akapitzlist"/>
        <w:spacing w:after="0"/>
        <w:ind w:left="0"/>
        <w:rPr>
          <w:rFonts w:ascii="Times New Roman" w:hAnsi="Times New Roman" w:cs="Times New Roman"/>
        </w:rPr>
      </w:pPr>
    </w:p>
    <w:p w14:paraId="775F28EE" w14:textId="656F5CF0" w:rsidR="00AB7D8C" w:rsidRPr="00CE1CB0" w:rsidRDefault="00AB7D8C" w:rsidP="00E80E71">
      <w:pPr>
        <w:pStyle w:val="Akapitzlist"/>
        <w:spacing w:after="0"/>
        <w:ind w:left="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18B232E4" w14:textId="77777777" w:rsidR="00AB7D8C" w:rsidRPr="00CE1CB0" w:rsidRDefault="00AB7D8C" w:rsidP="00F2310E">
      <w:pPr>
        <w:pStyle w:val="Akapitzlist"/>
        <w:numPr>
          <w:ilvl w:val="0"/>
          <w:numId w:val="7"/>
        </w:numPr>
        <w:spacing w:after="0"/>
        <w:ind w:left="426" w:hanging="349"/>
        <w:jc w:val="both"/>
        <w:rPr>
          <w:rFonts w:ascii="Times New Roman" w:hAnsi="Times New Roman" w:cs="Times New Roman"/>
        </w:rPr>
      </w:pPr>
      <w:r w:rsidRPr="00CE1CB0">
        <w:rPr>
          <w:rFonts w:ascii="Times New Roman" w:hAnsi="Times New Roman" w:cs="Times New Roman"/>
        </w:rPr>
        <w:t>Kryteria ustalone przez LGD są:</w:t>
      </w:r>
    </w:p>
    <w:p w14:paraId="07571532" w14:textId="77777777" w:rsidR="00AB7D8C" w:rsidRPr="00CE1CB0" w:rsidRDefault="00AB7D8C" w:rsidP="00F2310E">
      <w:pPr>
        <w:pStyle w:val="Akapitzlist"/>
        <w:numPr>
          <w:ilvl w:val="0"/>
          <w:numId w:val="6"/>
        </w:numPr>
        <w:spacing w:after="0"/>
        <w:ind w:left="851" w:hanging="425"/>
        <w:jc w:val="both"/>
        <w:rPr>
          <w:rFonts w:ascii="Times New Roman" w:hAnsi="Times New Roman" w:cs="Times New Roman"/>
        </w:rPr>
      </w:pPr>
      <w:r w:rsidRPr="00CE1CB0">
        <w:rPr>
          <w:rFonts w:ascii="Times New Roman" w:hAnsi="Times New Roman" w:cs="Times New Roman"/>
        </w:rPr>
        <w:t>logicznie powiązane ze stwierdzonymi potrzebami, określonymi celami oraz przyjętymi wskaźnikami produktu i rezultatu zapisanymi w LSR,</w:t>
      </w:r>
    </w:p>
    <w:p w14:paraId="32D4D3C4" w14:textId="77777777" w:rsidR="00AB7D8C" w:rsidRPr="00CE1CB0" w:rsidRDefault="00AB7D8C" w:rsidP="00F2310E">
      <w:pPr>
        <w:pStyle w:val="Akapitzlist"/>
        <w:numPr>
          <w:ilvl w:val="0"/>
          <w:numId w:val="6"/>
        </w:numPr>
        <w:spacing w:after="0"/>
        <w:ind w:left="851" w:hanging="425"/>
        <w:jc w:val="both"/>
        <w:rPr>
          <w:rFonts w:ascii="Times New Roman" w:hAnsi="Times New Roman" w:cs="Times New Roman"/>
        </w:rPr>
      </w:pPr>
      <w:r w:rsidRPr="00CE1CB0">
        <w:rPr>
          <w:rFonts w:ascii="Times New Roman" w:hAnsi="Times New Roman" w:cs="Times New Roman"/>
        </w:rPr>
        <w:t xml:space="preserve">przejrzyste, obiektywne i niedyskryminujące, </w:t>
      </w:r>
    </w:p>
    <w:p w14:paraId="29CCCD50" w14:textId="77777777" w:rsidR="00AB7D8C" w:rsidRPr="00CE1CB0" w:rsidRDefault="00AB7D8C" w:rsidP="00F2310E">
      <w:pPr>
        <w:pStyle w:val="Akapitzlist"/>
        <w:numPr>
          <w:ilvl w:val="0"/>
          <w:numId w:val="6"/>
        </w:numPr>
        <w:spacing w:after="0"/>
        <w:ind w:left="851" w:hanging="425"/>
        <w:jc w:val="both"/>
        <w:rPr>
          <w:rFonts w:ascii="Times New Roman" w:hAnsi="Times New Roman" w:cs="Times New Roman"/>
        </w:rPr>
      </w:pPr>
      <w:r w:rsidRPr="00CE1CB0">
        <w:rPr>
          <w:rFonts w:ascii="Times New Roman" w:hAnsi="Times New Roman" w:cs="Times New Roman"/>
        </w:rPr>
        <w:t>mierzalne oraz powinny posiadać dodatkowe opisy i definicje, pozwalające na ich właściwe zrozumienie i zastosowanie,</w:t>
      </w:r>
    </w:p>
    <w:p w14:paraId="30ED3800" w14:textId="77777777" w:rsidR="00AB7D8C" w:rsidRPr="00CE1CB0" w:rsidRDefault="00AB7D8C" w:rsidP="00F2310E">
      <w:pPr>
        <w:pStyle w:val="Akapitzlist"/>
        <w:numPr>
          <w:ilvl w:val="0"/>
          <w:numId w:val="6"/>
        </w:numPr>
        <w:spacing w:after="0"/>
        <w:ind w:left="851" w:hanging="425"/>
        <w:jc w:val="both"/>
        <w:rPr>
          <w:rFonts w:ascii="Times New Roman" w:hAnsi="Times New Roman" w:cs="Times New Roman"/>
        </w:rPr>
      </w:pPr>
      <w:r w:rsidRPr="00CE1CB0">
        <w:rPr>
          <w:rFonts w:ascii="Times New Roman" w:hAnsi="Times New Roman" w:cs="Times New Roman"/>
        </w:rPr>
        <w:t>dookreślone w zakresie spełniania warunków przyznania określonej liczby punktów.</w:t>
      </w:r>
    </w:p>
    <w:p w14:paraId="178A2BD9" w14:textId="77777777" w:rsidR="00AB7D8C" w:rsidRPr="00CE1CB0" w:rsidRDefault="00AB7D8C" w:rsidP="00E80E71">
      <w:pPr>
        <w:pStyle w:val="Akapitzlist"/>
        <w:spacing w:after="0"/>
        <w:ind w:left="0"/>
        <w:jc w:val="center"/>
        <w:rPr>
          <w:rFonts w:ascii="Times New Roman" w:hAnsi="Times New Roman" w:cs="Times New Roman"/>
        </w:rPr>
      </w:pPr>
    </w:p>
    <w:p w14:paraId="2AC0E120" w14:textId="4B0D9935" w:rsidR="00AB7D8C" w:rsidRPr="00CE1CB0" w:rsidRDefault="00AB7D8C" w:rsidP="00E80E71">
      <w:pPr>
        <w:pStyle w:val="Akapitzlist"/>
        <w:spacing w:after="0"/>
        <w:ind w:left="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4489526E" w14:textId="77777777" w:rsidR="008954DC" w:rsidRPr="00CE1CB0" w:rsidRDefault="008954DC" w:rsidP="00F2310E">
      <w:pPr>
        <w:pStyle w:val="Akapitzlist"/>
        <w:numPr>
          <w:ilvl w:val="0"/>
          <w:numId w:val="8"/>
        </w:numPr>
        <w:spacing w:after="0"/>
        <w:ind w:left="426" w:hanging="349"/>
        <w:jc w:val="both"/>
        <w:rPr>
          <w:rFonts w:ascii="Times New Roman" w:hAnsi="Times New Roman" w:cs="Times New Roman"/>
        </w:rPr>
      </w:pPr>
      <w:r w:rsidRPr="00CE1CB0">
        <w:rPr>
          <w:rFonts w:ascii="Times New Roman" w:hAnsi="Times New Roman" w:cs="Times New Roman"/>
        </w:rPr>
        <w:t>Kryteria wyboru operacji publikowane są co najmniej na stronie internetowej LGD.</w:t>
      </w:r>
    </w:p>
    <w:p w14:paraId="740326E5" w14:textId="77777777" w:rsidR="004F0500" w:rsidRDefault="004F0500" w:rsidP="004F0500">
      <w:pPr>
        <w:spacing w:after="0"/>
        <w:jc w:val="both"/>
        <w:rPr>
          <w:rFonts w:cstheme="minorHAnsi"/>
        </w:rPr>
      </w:pPr>
    </w:p>
    <w:p w14:paraId="66850274" w14:textId="77777777" w:rsidR="004F0500" w:rsidRDefault="004F0500" w:rsidP="004F0500">
      <w:pPr>
        <w:spacing w:after="0"/>
        <w:jc w:val="both"/>
        <w:rPr>
          <w:rFonts w:cstheme="minorHAnsi"/>
        </w:rPr>
      </w:pPr>
    </w:p>
    <w:p w14:paraId="0A716ACB" w14:textId="77777777" w:rsidR="00CE1CB0" w:rsidRDefault="00CE1CB0" w:rsidP="00CE1CB0">
      <w:pPr>
        <w:rPr>
          <w:rFonts w:ascii="Times New Roman" w:hAnsi="Times New Roman"/>
          <w:b/>
          <w:bCs/>
          <w:sz w:val="24"/>
          <w:szCs w:val="24"/>
        </w:rPr>
      </w:pPr>
    </w:p>
    <w:p w14:paraId="576C1287" w14:textId="77777777" w:rsidR="006874D5" w:rsidRDefault="006874D5" w:rsidP="00CE1CB0">
      <w:pPr>
        <w:rPr>
          <w:rFonts w:ascii="Times New Roman" w:hAnsi="Times New Roman"/>
          <w:b/>
          <w:bCs/>
          <w:sz w:val="24"/>
          <w:szCs w:val="24"/>
        </w:rPr>
      </w:pPr>
    </w:p>
    <w:p w14:paraId="3C547E7F" w14:textId="77777777" w:rsidR="006874D5" w:rsidRDefault="006874D5" w:rsidP="00CE1CB0">
      <w:pPr>
        <w:rPr>
          <w:rFonts w:ascii="Times New Roman" w:hAnsi="Times New Roman"/>
          <w:b/>
          <w:bCs/>
          <w:sz w:val="24"/>
          <w:szCs w:val="24"/>
        </w:rPr>
      </w:pPr>
    </w:p>
    <w:p w14:paraId="708A4A82" w14:textId="77777777" w:rsidR="006874D5" w:rsidRDefault="006874D5" w:rsidP="00CE1CB0">
      <w:pPr>
        <w:rPr>
          <w:rFonts w:ascii="Times New Roman" w:hAnsi="Times New Roman"/>
          <w:b/>
          <w:bCs/>
          <w:sz w:val="24"/>
          <w:szCs w:val="24"/>
        </w:rPr>
      </w:pPr>
    </w:p>
    <w:p w14:paraId="74030F76" w14:textId="77777777" w:rsidR="006874D5" w:rsidRDefault="006874D5" w:rsidP="00CE1CB0">
      <w:pPr>
        <w:rPr>
          <w:rFonts w:ascii="Times New Roman" w:hAnsi="Times New Roman"/>
          <w:b/>
          <w:bCs/>
          <w:sz w:val="24"/>
          <w:szCs w:val="24"/>
        </w:rPr>
      </w:pPr>
    </w:p>
    <w:p w14:paraId="0D8BF426" w14:textId="77777777" w:rsidR="006874D5" w:rsidRDefault="006874D5" w:rsidP="00CE1CB0">
      <w:pPr>
        <w:rPr>
          <w:rFonts w:ascii="Times New Roman" w:hAnsi="Times New Roman"/>
          <w:b/>
          <w:bCs/>
          <w:sz w:val="24"/>
          <w:szCs w:val="24"/>
        </w:rPr>
      </w:pPr>
    </w:p>
    <w:p w14:paraId="6ACFE7F3" w14:textId="77777777" w:rsidR="006874D5" w:rsidRDefault="006874D5" w:rsidP="00CE1CB0">
      <w:pPr>
        <w:rPr>
          <w:rFonts w:ascii="Times New Roman" w:hAnsi="Times New Roman"/>
          <w:b/>
          <w:bCs/>
          <w:sz w:val="24"/>
          <w:szCs w:val="24"/>
        </w:rPr>
      </w:pPr>
    </w:p>
    <w:p w14:paraId="64A8CAFF" w14:textId="77777777" w:rsidR="00631D9B" w:rsidRDefault="00631D9B" w:rsidP="00CE1CB0">
      <w:pPr>
        <w:rPr>
          <w:rFonts w:ascii="Times New Roman" w:hAnsi="Times New Roman"/>
          <w:b/>
          <w:bCs/>
          <w:sz w:val="24"/>
          <w:szCs w:val="24"/>
        </w:rPr>
      </w:pPr>
    </w:p>
    <w:p w14:paraId="6EE7EAA4" w14:textId="77777777" w:rsidR="00631D9B" w:rsidRDefault="00631D9B" w:rsidP="00CE1CB0">
      <w:pPr>
        <w:rPr>
          <w:rFonts w:ascii="Times New Roman" w:hAnsi="Times New Roman"/>
          <w:b/>
          <w:bCs/>
          <w:sz w:val="24"/>
          <w:szCs w:val="24"/>
        </w:rPr>
      </w:pPr>
    </w:p>
    <w:p w14:paraId="6D1A2FCC" w14:textId="77777777" w:rsidR="00631D9B" w:rsidRDefault="00631D9B" w:rsidP="00CE1CB0">
      <w:pPr>
        <w:rPr>
          <w:rFonts w:ascii="Times New Roman" w:hAnsi="Times New Roman"/>
          <w:b/>
          <w:bCs/>
          <w:sz w:val="24"/>
          <w:szCs w:val="24"/>
        </w:rPr>
      </w:pPr>
    </w:p>
    <w:p w14:paraId="7FD52B80" w14:textId="77777777" w:rsidR="00631D9B" w:rsidRDefault="00631D9B" w:rsidP="00CE1CB0">
      <w:pPr>
        <w:rPr>
          <w:rFonts w:ascii="Times New Roman" w:hAnsi="Times New Roman"/>
          <w:b/>
          <w:bCs/>
          <w:sz w:val="24"/>
          <w:szCs w:val="24"/>
        </w:rPr>
      </w:pPr>
    </w:p>
    <w:p w14:paraId="6427194B" w14:textId="77777777" w:rsidR="00CE1CB0" w:rsidRDefault="00CE1CB0" w:rsidP="00CE1CB0">
      <w:pPr>
        <w:rPr>
          <w:rFonts w:ascii="Times New Roman" w:hAnsi="Times New Roman"/>
          <w:b/>
          <w:bCs/>
          <w:sz w:val="24"/>
          <w:szCs w:val="24"/>
        </w:rPr>
      </w:pPr>
    </w:p>
    <w:p w14:paraId="3BCC9E57" w14:textId="77777777" w:rsidR="00153171" w:rsidRDefault="00153171" w:rsidP="00CE1CB0">
      <w:pPr>
        <w:rPr>
          <w:rFonts w:ascii="Times New Roman" w:hAnsi="Times New Roman"/>
          <w:b/>
          <w:bCs/>
          <w:sz w:val="24"/>
          <w:szCs w:val="24"/>
        </w:rPr>
      </w:pPr>
    </w:p>
    <w:p w14:paraId="1E8B2F62" w14:textId="21BA7D9B" w:rsidR="00CE1CB0" w:rsidRDefault="00CE1CB0" w:rsidP="00CE1CB0">
      <w:pPr>
        <w:jc w:val="center"/>
        <w:rPr>
          <w:rFonts w:ascii="Times New Roman" w:hAnsi="Times New Roman"/>
          <w:b/>
          <w:bCs/>
          <w:sz w:val="24"/>
          <w:szCs w:val="24"/>
        </w:rPr>
      </w:pPr>
      <w:r w:rsidRPr="005F0DFB">
        <w:rPr>
          <w:rFonts w:ascii="Times New Roman" w:hAnsi="Times New Roman"/>
          <w:b/>
          <w:bCs/>
          <w:sz w:val="24"/>
          <w:szCs w:val="24"/>
        </w:rPr>
        <w:lastRenderedPageBreak/>
        <w:t>Kryteria wyboru grantobiorców w ramach Lokalnej Strategii Rozwoju na lata 2023-2027</w:t>
      </w:r>
      <w:r>
        <w:rPr>
          <w:rFonts w:ascii="Times New Roman" w:hAnsi="Times New Roman"/>
          <w:b/>
          <w:bCs/>
          <w:sz w:val="24"/>
          <w:szCs w:val="24"/>
        </w:rPr>
        <w:t xml:space="preserve"> w ramach wdrażania interwencji </w:t>
      </w:r>
    </w:p>
    <w:p w14:paraId="5CA57F97" w14:textId="77777777" w:rsidR="00CE1CB0" w:rsidRDefault="00CE1CB0" w:rsidP="00CE1CB0">
      <w:pPr>
        <w:jc w:val="center"/>
        <w:rPr>
          <w:rFonts w:ascii="Times New Roman" w:hAnsi="Times New Roman"/>
          <w:b/>
          <w:bCs/>
          <w:sz w:val="24"/>
          <w:szCs w:val="24"/>
        </w:rPr>
      </w:pPr>
      <w:r>
        <w:rPr>
          <w:rFonts w:ascii="Times New Roman" w:hAnsi="Times New Roman"/>
          <w:b/>
          <w:bCs/>
          <w:sz w:val="24"/>
          <w:szCs w:val="24"/>
        </w:rPr>
        <w:t xml:space="preserve">I.13.1 LEADER/RLKS ze środków PS WPR w ramach Lokalnej Strategii Rozwoju na lata 2023-2027 </w:t>
      </w:r>
    </w:p>
    <w:p w14:paraId="541CBE83" w14:textId="77777777" w:rsidR="00CE1CB0" w:rsidRPr="005F0DFB" w:rsidRDefault="00CE1CB0" w:rsidP="00CE1CB0">
      <w:pPr>
        <w:jc w:val="center"/>
        <w:rPr>
          <w:rFonts w:ascii="Times New Roman" w:hAnsi="Times New Roman"/>
          <w:b/>
          <w:bCs/>
          <w:sz w:val="24"/>
          <w:szCs w:val="24"/>
        </w:rPr>
      </w:pPr>
      <w:r>
        <w:rPr>
          <w:rFonts w:ascii="Times New Roman" w:hAnsi="Times New Roman"/>
          <w:b/>
          <w:bCs/>
          <w:sz w:val="24"/>
          <w:szCs w:val="24"/>
        </w:rPr>
        <w:t>Lokalnej Grupy Działania PODKOWA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843"/>
        <w:gridCol w:w="3409"/>
        <w:gridCol w:w="3531"/>
        <w:gridCol w:w="3087"/>
        <w:gridCol w:w="1722"/>
      </w:tblGrid>
      <w:tr w:rsidR="00CE1CB0" w:rsidRPr="005F0DFB" w14:paraId="6365BEB2" w14:textId="77777777" w:rsidTr="008626B0">
        <w:tc>
          <w:tcPr>
            <w:tcW w:w="543" w:type="dxa"/>
            <w:shd w:val="clear" w:color="auto" w:fill="auto"/>
          </w:tcPr>
          <w:p w14:paraId="6DC58EB0" w14:textId="77777777" w:rsidR="00CE1CB0" w:rsidRPr="005F0DFB"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L</w:t>
            </w:r>
            <w:r w:rsidRPr="005F0DFB">
              <w:rPr>
                <w:rFonts w:ascii="Times New Roman" w:hAnsi="Times New Roman"/>
                <w:sz w:val="24"/>
                <w:szCs w:val="24"/>
              </w:rPr>
              <w:t>p.</w:t>
            </w:r>
          </w:p>
        </w:tc>
        <w:tc>
          <w:tcPr>
            <w:tcW w:w="1843" w:type="dxa"/>
            <w:shd w:val="clear" w:color="auto" w:fill="auto"/>
          </w:tcPr>
          <w:p w14:paraId="4EFFF3BE"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Kryterium</w:t>
            </w:r>
          </w:p>
        </w:tc>
        <w:tc>
          <w:tcPr>
            <w:tcW w:w="3655" w:type="dxa"/>
            <w:shd w:val="clear" w:color="auto" w:fill="auto"/>
          </w:tcPr>
          <w:p w14:paraId="4C3698F7"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Opis</w:t>
            </w:r>
          </w:p>
        </w:tc>
        <w:tc>
          <w:tcPr>
            <w:tcW w:w="3711" w:type="dxa"/>
            <w:shd w:val="clear" w:color="auto" w:fill="auto"/>
          </w:tcPr>
          <w:p w14:paraId="65970682"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Zasady punktowania</w:t>
            </w:r>
          </w:p>
        </w:tc>
        <w:tc>
          <w:tcPr>
            <w:tcW w:w="3426" w:type="dxa"/>
          </w:tcPr>
          <w:p w14:paraId="6DE18DB4" w14:textId="77777777" w:rsidR="00CE1CB0" w:rsidRPr="005F0DFB"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S</w:t>
            </w:r>
            <w:r w:rsidRPr="005F0DFB">
              <w:rPr>
                <w:rFonts w:ascii="Times New Roman" w:hAnsi="Times New Roman"/>
                <w:sz w:val="24"/>
                <w:szCs w:val="24"/>
              </w:rPr>
              <w:t>posób weryfikacji</w:t>
            </w:r>
          </w:p>
        </w:tc>
        <w:tc>
          <w:tcPr>
            <w:tcW w:w="1722" w:type="dxa"/>
          </w:tcPr>
          <w:p w14:paraId="0106227D" w14:textId="77777777" w:rsidR="00CE1CB0"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Kryterium rozstrzygające*</w:t>
            </w:r>
          </w:p>
        </w:tc>
      </w:tr>
      <w:tr w:rsidR="00CE1CB0" w:rsidRPr="005F0DFB" w14:paraId="0DB90E8C" w14:textId="77777777" w:rsidTr="008626B0">
        <w:tc>
          <w:tcPr>
            <w:tcW w:w="543" w:type="dxa"/>
            <w:shd w:val="clear" w:color="auto" w:fill="auto"/>
          </w:tcPr>
          <w:p w14:paraId="51518FBA"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1.</w:t>
            </w:r>
          </w:p>
        </w:tc>
        <w:tc>
          <w:tcPr>
            <w:tcW w:w="1843" w:type="dxa"/>
            <w:shd w:val="clear" w:color="auto" w:fill="auto"/>
          </w:tcPr>
          <w:p w14:paraId="4103A870"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Racjonalność przedstawionych kosztów</w:t>
            </w:r>
          </w:p>
        </w:tc>
        <w:tc>
          <w:tcPr>
            <w:tcW w:w="3655" w:type="dxa"/>
            <w:shd w:val="clear" w:color="auto" w:fill="auto"/>
          </w:tcPr>
          <w:p w14:paraId="4461B0AC" w14:textId="3A842F33"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Preferuje się </w:t>
            </w:r>
            <w:r w:rsidR="00153171">
              <w:rPr>
                <w:rFonts w:ascii="Times New Roman" w:hAnsi="Times New Roman"/>
                <w:sz w:val="24"/>
                <w:szCs w:val="24"/>
              </w:rPr>
              <w:t>wnioskodawców</w:t>
            </w:r>
            <w:r w:rsidRPr="005F0DFB">
              <w:rPr>
                <w:rFonts w:ascii="Times New Roman" w:hAnsi="Times New Roman"/>
                <w:sz w:val="24"/>
                <w:szCs w:val="24"/>
              </w:rPr>
              <w:t xml:space="preserve">, którzy przedstawili oferty cenowe pozwalające zweryfikować racjonalność kosztów kwalifikowanych.  </w:t>
            </w:r>
          </w:p>
          <w:p w14:paraId="72C3841B" w14:textId="77777777" w:rsidR="00CE1CB0" w:rsidRPr="005F0DFB" w:rsidRDefault="00CE1CB0" w:rsidP="008626B0">
            <w:pPr>
              <w:spacing w:after="0" w:line="240" w:lineRule="auto"/>
              <w:rPr>
                <w:rFonts w:ascii="Times New Roman" w:hAnsi="Times New Roman"/>
                <w:sz w:val="24"/>
                <w:szCs w:val="24"/>
              </w:rPr>
            </w:pPr>
          </w:p>
        </w:tc>
        <w:tc>
          <w:tcPr>
            <w:tcW w:w="3711" w:type="dxa"/>
            <w:shd w:val="clear" w:color="auto" w:fill="auto"/>
          </w:tcPr>
          <w:p w14:paraId="51B006E7" w14:textId="34A8294B" w:rsidR="00CE1CB0" w:rsidRDefault="00CE1CB0" w:rsidP="00F2310E">
            <w:pPr>
              <w:numPr>
                <w:ilvl w:val="0"/>
                <w:numId w:val="15"/>
              </w:numPr>
              <w:spacing w:after="0" w:line="240" w:lineRule="auto"/>
              <w:rPr>
                <w:rFonts w:ascii="Times New Roman" w:hAnsi="Times New Roman"/>
                <w:sz w:val="24"/>
                <w:szCs w:val="24"/>
              </w:rPr>
            </w:pPr>
            <w:r>
              <w:rPr>
                <w:rFonts w:ascii="Times New Roman" w:hAnsi="Times New Roman"/>
                <w:sz w:val="24"/>
                <w:szCs w:val="24"/>
              </w:rPr>
              <w:t>d</w:t>
            </w:r>
            <w:r w:rsidRPr="005F0DFB">
              <w:rPr>
                <w:rFonts w:ascii="Times New Roman" w:hAnsi="Times New Roman"/>
                <w:sz w:val="24"/>
                <w:szCs w:val="24"/>
              </w:rPr>
              <w:t xml:space="preserve">o </w:t>
            </w:r>
            <w:r w:rsidR="00153171">
              <w:rPr>
                <w:rFonts w:ascii="Times New Roman" w:hAnsi="Times New Roman"/>
                <w:sz w:val="24"/>
                <w:szCs w:val="24"/>
              </w:rPr>
              <w:t>wniosku</w:t>
            </w:r>
            <w:r w:rsidRPr="005F0DFB">
              <w:rPr>
                <w:rFonts w:ascii="Times New Roman" w:hAnsi="Times New Roman"/>
                <w:sz w:val="24"/>
                <w:szCs w:val="24"/>
              </w:rPr>
              <w:t xml:space="preserve"> załączono minimum 2 oferty cenowe uzasadniające przyjęty poziom kosztu (w odniesieniu do wszystkich kosztów ujętych </w:t>
            </w:r>
            <w:r w:rsidR="00153171">
              <w:rPr>
                <w:rFonts w:ascii="Times New Roman" w:hAnsi="Times New Roman"/>
                <w:sz w:val="24"/>
                <w:szCs w:val="24"/>
              </w:rPr>
              <w:t>we wniosku</w:t>
            </w:r>
            <w:r w:rsidRPr="005F0DFB">
              <w:rPr>
                <w:rFonts w:ascii="Times New Roman" w:hAnsi="Times New Roman"/>
                <w:sz w:val="24"/>
                <w:szCs w:val="24"/>
              </w:rPr>
              <w:t xml:space="preserve"> poza kosztami ogólnymi)</w:t>
            </w:r>
            <w:r>
              <w:rPr>
                <w:rFonts w:ascii="Times New Roman" w:hAnsi="Times New Roman"/>
                <w:sz w:val="24"/>
                <w:szCs w:val="24"/>
              </w:rPr>
              <w:t xml:space="preserve"> </w:t>
            </w:r>
          </w:p>
          <w:p w14:paraId="6905B8F0" w14:textId="77777777" w:rsidR="00CE1CB0" w:rsidRDefault="00CE1CB0" w:rsidP="008626B0">
            <w:pPr>
              <w:spacing w:after="0" w:line="240" w:lineRule="auto"/>
              <w:ind w:left="720"/>
              <w:rPr>
                <w:rFonts w:ascii="Times New Roman" w:hAnsi="Times New Roman"/>
                <w:sz w:val="24"/>
                <w:szCs w:val="24"/>
              </w:rPr>
            </w:pPr>
            <w:r w:rsidRPr="005F0DFB">
              <w:rPr>
                <w:rFonts w:ascii="Times New Roman" w:hAnsi="Times New Roman"/>
                <w:sz w:val="24"/>
                <w:szCs w:val="24"/>
              </w:rPr>
              <w:t xml:space="preserve">– </w:t>
            </w:r>
            <w:r>
              <w:rPr>
                <w:rFonts w:ascii="Times New Roman" w:hAnsi="Times New Roman"/>
                <w:sz w:val="24"/>
                <w:szCs w:val="24"/>
              </w:rPr>
              <w:t>2</w:t>
            </w:r>
            <w:r w:rsidRPr="005F0DFB">
              <w:rPr>
                <w:rFonts w:ascii="Times New Roman" w:hAnsi="Times New Roman"/>
                <w:sz w:val="24"/>
                <w:szCs w:val="24"/>
              </w:rPr>
              <w:t xml:space="preserve"> pkt. </w:t>
            </w:r>
          </w:p>
          <w:p w14:paraId="1B94B40B" w14:textId="4B9B011C" w:rsidR="00CE1CB0" w:rsidRPr="00706744" w:rsidRDefault="00CE1CB0" w:rsidP="00F2310E">
            <w:pPr>
              <w:numPr>
                <w:ilvl w:val="0"/>
                <w:numId w:val="15"/>
              </w:numPr>
              <w:spacing w:after="0" w:line="240" w:lineRule="auto"/>
              <w:rPr>
                <w:rFonts w:ascii="Times New Roman" w:hAnsi="Times New Roman"/>
                <w:sz w:val="24"/>
                <w:szCs w:val="24"/>
              </w:rPr>
            </w:pPr>
            <w:r>
              <w:rPr>
                <w:rFonts w:ascii="Times New Roman" w:hAnsi="Times New Roman"/>
                <w:sz w:val="24"/>
                <w:szCs w:val="24"/>
              </w:rPr>
              <w:t xml:space="preserve">do </w:t>
            </w:r>
            <w:r w:rsidR="009453A8">
              <w:rPr>
                <w:rFonts w:ascii="Times New Roman" w:hAnsi="Times New Roman"/>
                <w:sz w:val="24"/>
                <w:szCs w:val="24"/>
              </w:rPr>
              <w:t>wniosku</w:t>
            </w:r>
            <w:r>
              <w:rPr>
                <w:rFonts w:ascii="Times New Roman" w:hAnsi="Times New Roman"/>
                <w:sz w:val="24"/>
                <w:szCs w:val="24"/>
              </w:rPr>
              <w:t xml:space="preserve"> nie załączono </w:t>
            </w:r>
            <w:r w:rsidRPr="00706744">
              <w:rPr>
                <w:rFonts w:ascii="Times New Roman" w:hAnsi="Times New Roman"/>
                <w:sz w:val="24"/>
                <w:szCs w:val="24"/>
              </w:rPr>
              <w:t>wymaganych ofert cenowych lub oferty te są niekompletne</w:t>
            </w:r>
            <w:r>
              <w:rPr>
                <w:rFonts w:ascii="Times New Roman" w:hAnsi="Times New Roman"/>
                <w:sz w:val="24"/>
                <w:szCs w:val="24"/>
              </w:rPr>
              <w:t xml:space="preserve"> </w:t>
            </w:r>
            <w:r w:rsidRPr="00706744">
              <w:rPr>
                <w:rFonts w:ascii="Times New Roman" w:hAnsi="Times New Roman"/>
                <w:sz w:val="24"/>
                <w:szCs w:val="24"/>
              </w:rPr>
              <w:t xml:space="preserve">- 0 pkt.  </w:t>
            </w:r>
          </w:p>
        </w:tc>
        <w:tc>
          <w:tcPr>
            <w:tcW w:w="3426" w:type="dxa"/>
          </w:tcPr>
          <w:p w14:paraId="32CBD034" w14:textId="3CE67D9B"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w:t>
            </w:r>
            <w:r w:rsidR="009453A8">
              <w:rPr>
                <w:rFonts w:ascii="Times New Roman" w:hAnsi="Times New Roman"/>
                <w:sz w:val="24"/>
                <w:szCs w:val="24"/>
              </w:rPr>
              <w:t>e wniosku</w:t>
            </w:r>
            <w:r w:rsidR="00F24693">
              <w:rPr>
                <w:rFonts w:ascii="Times New Roman" w:hAnsi="Times New Roman"/>
                <w:sz w:val="24"/>
                <w:szCs w:val="24"/>
              </w:rPr>
              <w:t xml:space="preserve"> </w:t>
            </w:r>
            <w:r w:rsidRPr="005F0DFB">
              <w:rPr>
                <w:rFonts w:ascii="Times New Roman" w:hAnsi="Times New Roman"/>
                <w:sz w:val="24"/>
                <w:szCs w:val="24"/>
              </w:rPr>
              <w:t>i</w:t>
            </w:r>
            <w:r>
              <w:rPr>
                <w:rFonts w:ascii="Times New Roman" w:hAnsi="Times New Roman"/>
                <w:sz w:val="24"/>
                <w:szCs w:val="24"/>
              </w:rPr>
              <w:t>/lub</w:t>
            </w:r>
            <w:r w:rsidRPr="005F0DFB">
              <w:rPr>
                <w:rFonts w:ascii="Times New Roman" w:hAnsi="Times New Roman"/>
                <w:sz w:val="24"/>
                <w:szCs w:val="24"/>
              </w:rPr>
              <w:t xml:space="preserve"> </w:t>
            </w:r>
            <w:r w:rsidR="00F24693">
              <w:rPr>
                <w:rFonts w:ascii="Times New Roman" w:hAnsi="Times New Roman"/>
                <w:sz w:val="24"/>
                <w:szCs w:val="24"/>
              </w:rPr>
              <w:t xml:space="preserve">w </w:t>
            </w:r>
            <w:r w:rsidRPr="005F0DFB">
              <w:rPr>
                <w:rFonts w:ascii="Times New Roman" w:hAnsi="Times New Roman"/>
                <w:sz w:val="24"/>
                <w:szCs w:val="24"/>
              </w:rPr>
              <w:t>załącznikach</w:t>
            </w:r>
            <w:r>
              <w:rPr>
                <w:rFonts w:ascii="Times New Roman" w:hAnsi="Times New Roman"/>
                <w:sz w:val="24"/>
                <w:szCs w:val="24"/>
              </w:rPr>
              <w:t>.</w:t>
            </w:r>
          </w:p>
        </w:tc>
        <w:tc>
          <w:tcPr>
            <w:tcW w:w="1722" w:type="dxa"/>
          </w:tcPr>
          <w:p w14:paraId="4FFF3C4C"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3526238C" w14:textId="77777777" w:rsidTr="008626B0">
        <w:tc>
          <w:tcPr>
            <w:tcW w:w="543" w:type="dxa"/>
            <w:shd w:val="clear" w:color="auto" w:fill="auto"/>
          </w:tcPr>
          <w:p w14:paraId="0F6FC9A9"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2. </w:t>
            </w:r>
          </w:p>
        </w:tc>
        <w:tc>
          <w:tcPr>
            <w:tcW w:w="1843" w:type="dxa"/>
            <w:shd w:val="clear" w:color="auto" w:fill="auto"/>
          </w:tcPr>
          <w:p w14:paraId="4E97FFBB" w14:textId="18A814BE"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Doświadczenie </w:t>
            </w:r>
            <w:r w:rsidR="004632DC">
              <w:rPr>
                <w:rFonts w:ascii="Times New Roman" w:hAnsi="Times New Roman"/>
                <w:sz w:val="24"/>
                <w:szCs w:val="24"/>
              </w:rPr>
              <w:t>wnioskodawcy</w:t>
            </w:r>
          </w:p>
        </w:tc>
        <w:tc>
          <w:tcPr>
            <w:tcW w:w="3655" w:type="dxa"/>
            <w:shd w:val="clear" w:color="auto" w:fill="auto"/>
          </w:tcPr>
          <w:p w14:paraId="383A90A3" w14:textId="77777777" w:rsidR="00CE1CB0" w:rsidRDefault="00CE1CB0" w:rsidP="008626B0">
            <w:pPr>
              <w:spacing w:after="0" w:line="240" w:lineRule="auto"/>
            </w:pPr>
            <w:r>
              <w:rPr>
                <w:rFonts w:ascii="Times New Roman" w:hAnsi="Times New Roman"/>
                <w:sz w:val="24"/>
                <w:szCs w:val="24"/>
              </w:rPr>
              <w:t>Preferuje się wnioskodawców posiadających doświadczenie w realizacji projektów finansowanych ze środków zewnętrznych,</w:t>
            </w:r>
          </w:p>
          <w:p w14:paraId="39CB7FAD" w14:textId="77777777" w:rsidR="00CE1CB0" w:rsidRDefault="00CE1CB0" w:rsidP="008626B0">
            <w:pPr>
              <w:spacing w:after="0" w:line="240" w:lineRule="auto"/>
              <w:rPr>
                <w:rFonts w:ascii="Times New Roman" w:hAnsi="Times New Roman"/>
                <w:sz w:val="24"/>
                <w:szCs w:val="24"/>
              </w:rPr>
            </w:pPr>
          </w:p>
        </w:tc>
        <w:tc>
          <w:tcPr>
            <w:tcW w:w="3711" w:type="dxa"/>
            <w:shd w:val="clear" w:color="auto" w:fill="auto"/>
          </w:tcPr>
          <w:p w14:paraId="4EEDEE1B" w14:textId="77777777" w:rsidR="00CE1CB0" w:rsidRDefault="00CE1CB0" w:rsidP="00F2310E">
            <w:pPr>
              <w:numPr>
                <w:ilvl w:val="0"/>
                <w:numId w:val="16"/>
              </w:numPr>
              <w:spacing w:after="0" w:line="240" w:lineRule="auto"/>
              <w:rPr>
                <w:rFonts w:ascii="Times New Roman" w:hAnsi="Times New Roman"/>
                <w:sz w:val="24"/>
                <w:szCs w:val="24"/>
              </w:rPr>
            </w:pPr>
            <w:r>
              <w:rPr>
                <w:rFonts w:ascii="Times New Roman" w:hAnsi="Times New Roman"/>
                <w:sz w:val="24"/>
                <w:szCs w:val="24"/>
              </w:rPr>
              <w:t xml:space="preserve">Wnioskodawca zrealizował dwa i więcej projektów – 2 pkt. </w:t>
            </w:r>
          </w:p>
          <w:p w14:paraId="18D46EFB" w14:textId="77777777" w:rsidR="00CE1CB0" w:rsidRDefault="00CE1CB0" w:rsidP="00F2310E">
            <w:pPr>
              <w:numPr>
                <w:ilvl w:val="0"/>
                <w:numId w:val="16"/>
              </w:numPr>
              <w:spacing w:after="0" w:line="240" w:lineRule="auto"/>
              <w:rPr>
                <w:rFonts w:ascii="Times New Roman" w:hAnsi="Times New Roman"/>
                <w:sz w:val="24"/>
                <w:szCs w:val="24"/>
              </w:rPr>
            </w:pPr>
            <w:r>
              <w:rPr>
                <w:rFonts w:ascii="Times New Roman" w:hAnsi="Times New Roman"/>
                <w:sz w:val="24"/>
                <w:szCs w:val="24"/>
              </w:rPr>
              <w:t xml:space="preserve">Wnioskodawca zrealizował minimum jednej projekt – 1 pkt. </w:t>
            </w:r>
          </w:p>
          <w:p w14:paraId="28B25F9D" w14:textId="77777777" w:rsidR="00CE1CB0" w:rsidRPr="008258A4" w:rsidRDefault="00CE1CB0" w:rsidP="00F2310E">
            <w:pPr>
              <w:numPr>
                <w:ilvl w:val="0"/>
                <w:numId w:val="16"/>
              </w:numPr>
              <w:spacing w:after="0" w:line="240" w:lineRule="auto"/>
              <w:rPr>
                <w:rFonts w:ascii="Times New Roman" w:hAnsi="Times New Roman"/>
                <w:sz w:val="24"/>
                <w:szCs w:val="24"/>
              </w:rPr>
            </w:pPr>
            <w:r>
              <w:rPr>
                <w:rFonts w:ascii="Times New Roman" w:hAnsi="Times New Roman"/>
                <w:sz w:val="24"/>
                <w:szCs w:val="24"/>
              </w:rPr>
              <w:t>Wnioskodawca nie posiada doświadczenia – 0 pkt.</w:t>
            </w:r>
          </w:p>
          <w:p w14:paraId="5E0AC800"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Punkty się nie sumują. </w:t>
            </w:r>
          </w:p>
        </w:tc>
        <w:tc>
          <w:tcPr>
            <w:tcW w:w="3426" w:type="dxa"/>
          </w:tcPr>
          <w:p w14:paraId="5EA78A2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 xml:space="preserve"> (dokumenty potwierdzające realizację projektów tj. kopia umowy o dofinansowaniu, decyzja o rozliczeniu projektu, oświadczenie wnioskodawcy itp.) </w:t>
            </w:r>
          </w:p>
        </w:tc>
        <w:tc>
          <w:tcPr>
            <w:tcW w:w="1722" w:type="dxa"/>
          </w:tcPr>
          <w:p w14:paraId="5C6BF86C"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2232214B" w14:textId="77777777" w:rsidTr="008626B0">
        <w:tc>
          <w:tcPr>
            <w:tcW w:w="543" w:type="dxa"/>
            <w:shd w:val="clear" w:color="auto" w:fill="auto"/>
          </w:tcPr>
          <w:p w14:paraId="132E834F"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3. </w:t>
            </w:r>
          </w:p>
        </w:tc>
        <w:tc>
          <w:tcPr>
            <w:tcW w:w="1843" w:type="dxa"/>
            <w:shd w:val="clear" w:color="auto" w:fill="auto"/>
          </w:tcPr>
          <w:p w14:paraId="7A70322E"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Działania promujące LGD</w:t>
            </w:r>
          </w:p>
        </w:tc>
        <w:tc>
          <w:tcPr>
            <w:tcW w:w="3655" w:type="dxa"/>
            <w:shd w:val="clear" w:color="auto" w:fill="auto"/>
          </w:tcPr>
          <w:p w14:paraId="3D420FAA" w14:textId="38578791"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Preferuje się wnioskodawców, którzy zobowiązują się do promocji</w:t>
            </w:r>
            <w:r w:rsidR="009453A8">
              <w:rPr>
                <w:rFonts w:ascii="Times New Roman" w:hAnsi="Times New Roman"/>
                <w:sz w:val="24"/>
                <w:szCs w:val="24"/>
              </w:rPr>
              <w:t xml:space="preserve"> zadania </w:t>
            </w:r>
            <w:r>
              <w:rPr>
                <w:rFonts w:ascii="Times New Roman" w:hAnsi="Times New Roman"/>
                <w:sz w:val="24"/>
                <w:szCs w:val="24"/>
              </w:rPr>
              <w:t xml:space="preserve">w przypadku uzyskania wsparcia z Lokalnej Grupy Działania „PODKOWA”. </w:t>
            </w:r>
          </w:p>
          <w:p w14:paraId="2A5FB777" w14:textId="082DE024" w:rsidR="00CE1CB0" w:rsidRDefault="00631D9B" w:rsidP="008626B0">
            <w:pPr>
              <w:spacing w:after="0" w:line="240" w:lineRule="auto"/>
              <w:rPr>
                <w:rFonts w:ascii="Times New Roman" w:hAnsi="Times New Roman"/>
                <w:sz w:val="24"/>
                <w:szCs w:val="24"/>
              </w:rPr>
            </w:pPr>
            <w:r>
              <w:rPr>
                <w:rFonts w:ascii="Times New Roman" w:hAnsi="Times New Roman"/>
                <w:sz w:val="24"/>
                <w:szCs w:val="24"/>
              </w:rPr>
              <w:t>Wnioskodawca</w:t>
            </w:r>
            <w:r w:rsidR="00CE1CB0">
              <w:rPr>
                <w:rFonts w:ascii="Times New Roman" w:hAnsi="Times New Roman"/>
                <w:sz w:val="24"/>
                <w:szCs w:val="24"/>
              </w:rPr>
              <w:t xml:space="preserve"> podczas redagowania informacji będzie zobligowany do stosowania logotypów i napisów określonych w księdze wizualizacji logo PS WPR 2023-2027 oraz logotyp LGD.  </w:t>
            </w:r>
          </w:p>
        </w:tc>
        <w:tc>
          <w:tcPr>
            <w:tcW w:w="3711" w:type="dxa"/>
            <w:shd w:val="clear" w:color="auto" w:fill="auto"/>
          </w:tcPr>
          <w:p w14:paraId="350E0761" w14:textId="5EB6DA51" w:rsidR="00CE1CB0" w:rsidRDefault="00CE1CB0" w:rsidP="00F2310E">
            <w:pPr>
              <w:numPr>
                <w:ilvl w:val="0"/>
                <w:numId w:val="17"/>
              </w:numPr>
              <w:spacing w:after="0" w:line="240" w:lineRule="auto"/>
              <w:rPr>
                <w:rFonts w:ascii="Times New Roman" w:hAnsi="Times New Roman"/>
                <w:sz w:val="24"/>
                <w:szCs w:val="24"/>
              </w:rPr>
            </w:pPr>
            <w:r>
              <w:rPr>
                <w:rFonts w:ascii="Times New Roman" w:hAnsi="Times New Roman"/>
                <w:sz w:val="24"/>
                <w:szCs w:val="24"/>
              </w:rPr>
              <w:t>Wnioskodawca deklaruje w okresie realizacji zadania umieszczenie min. 1 artykułu na swojej stronie</w:t>
            </w:r>
            <w:r w:rsidR="009453A8">
              <w:rPr>
                <w:rFonts w:ascii="Times New Roman" w:hAnsi="Times New Roman"/>
                <w:sz w:val="24"/>
                <w:szCs w:val="24"/>
              </w:rPr>
              <w:t xml:space="preserve"> </w:t>
            </w:r>
            <w:r>
              <w:rPr>
                <w:rFonts w:ascii="Times New Roman" w:hAnsi="Times New Roman"/>
                <w:sz w:val="24"/>
                <w:szCs w:val="24"/>
              </w:rPr>
              <w:t xml:space="preserve">internetowej/stronie internetowej gminy z obszaru LGD lub umieszczenie min. 1 postu w mediach społecznościowych Dodatkowo, jeżeli zaplanowano działania inwestycyjne Wnioskodawca deklaruje umieszczenie tabliczki w formacie min. A4 w miejscu realizacji – 2 pkt. </w:t>
            </w:r>
          </w:p>
          <w:p w14:paraId="763DE216" w14:textId="77777777" w:rsidR="00CE1CB0" w:rsidRPr="00706744" w:rsidRDefault="00CE1CB0" w:rsidP="00F2310E">
            <w:pPr>
              <w:numPr>
                <w:ilvl w:val="0"/>
                <w:numId w:val="17"/>
              </w:numPr>
              <w:spacing w:after="0" w:line="240" w:lineRule="auto"/>
              <w:rPr>
                <w:rFonts w:ascii="Times New Roman" w:hAnsi="Times New Roman"/>
                <w:sz w:val="24"/>
                <w:szCs w:val="24"/>
              </w:rPr>
            </w:pPr>
            <w:r w:rsidRPr="00706744">
              <w:rPr>
                <w:rFonts w:ascii="Times New Roman" w:hAnsi="Times New Roman"/>
                <w:sz w:val="24"/>
                <w:szCs w:val="24"/>
              </w:rPr>
              <w:t xml:space="preserve">Wnioskodawca nie deklaruje realizacji zadań promujących LGD </w:t>
            </w:r>
            <w:r>
              <w:rPr>
                <w:rFonts w:ascii="Times New Roman" w:hAnsi="Times New Roman"/>
                <w:sz w:val="24"/>
                <w:szCs w:val="24"/>
              </w:rPr>
              <w:t xml:space="preserve">– 0 </w:t>
            </w:r>
            <w:r w:rsidRPr="00706744">
              <w:rPr>
                <w:rFonts w:ascii="Times New Roman" w:hAnsi="Times New Roman"/>
                <w:sz w:val="24"/>
                <w:szCs w:val="24"/>
              </w:rPr>
              <w:t xml:space="preserve">pkt. </w:t>
            </w:r>
          </w:p>
        </w:tc>
        <w:tc>
          <w:tcPr>
            <w:tcW w:w="3426" w:type="dxa"/>
          </w:tcPr>
          <w:p w14:paraId="3F175BA1"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tc>
        <w:tc>
          <w:tcPr>
            <w:tcW w:w="1722" w:type="dxa"/>
          </w:tcPr>
          <w:p w14:paraId="7E231038"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6B096B91" w14:textId="77777777" w:rsidTr="008626B0">
        <w:tc>
          <w:tcPr>
            <w:tcW w:w="543" w:type="dxa"/>
            <w:shd w:val="clear" w:color="auto" w:fill="auto"/>
          </w:tcPr>
          <w:p w14:paraId="7833F1EA"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4</w:t>
            </w:r>
            <w:r w:rsidRPr="005F0DFB">
              <w:rPr>
                <w:rFonts w:ascii="Times New Roman" w:hAnsi="Times New Roman"/>
                <w:sz w:val="24"/>
                <w:szCs w:val="24"/>
              </w:rPr>
              <w:t>.</w:t>
            </w:r>
          </w:p>
        </w:tc>
        <w:tc>
          <w:tcPr>
            <w:tcW w:w="1843" w:type="dxa"/>
            <w:shd w:val="clear" w:color="auto" w:fill="auto"/>
          </w:tcPr>
          <w:p w14:paraId="7BD49CA2"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Innowacyjność</w:t>
            </w:r>
          </w:p>
          <w:p w14:paraId="2689F228" w14:textId="77777777" w:rsidR="00CE1CB0" w:rsidRPr="00D35CD3" w:rsidRDefault="00CE1CB0" w:rsidP="008626B0">
            <w:pPr>
              <w:rPr>
                <w:rFonts w:ascii="Times New Roman" w:hAnsi="Times New Roman"/>
                <w:sz w:val="24"/>
                <w:szCs w:val="24"/>
              </w:rPr>
            </w:pPr>
          </w:p>
          <w:p w14:paraId="151BB363" w14:textId="77777777" w:rsidR="00CE1CB0" w:rsidRDefault="00CE1CB0" w:rsidP="008626B0">
            <w:pPr>
              <w:rPr>
                <w:rFonts w:ascii="Times New Roman" w:hAnsi="Times New Roman"/>
                <w:sz w:val="24"/>
                <w:szCs w:val="24"/>
              </w:rPr>
            </w:pPr>
          </w:p>
          <w:p w14:paraId="62BDA20C" w14:textId="77777777" w:rsidR="00CE1CB0" w:rsidRPr="00D35CD3" w:rsidRDefault="00CE1CB0" w:rsidP="008626B0">
            <w:pPr>
              <w:jc w:val="center"/>
              <w:rPr>
                <w:rFonts w:ascii="Times New Roman" w:hAnsi="Times New Roman"/>
                <w:sz w:val="24"/>
                <w:szCs w:val="24"/>
              </w:rPr>
            </w:pPr>
          </w:p>
        </w:tc>
        <w:tc>
          <w:tcPr>
            <w:tcW w:w="3655" w:type="dxa"/>
            <w:shd w:val="clear" w:color="auto" w:fill="auto"/>
          </w:tcPr>
          <w:p w14:paraId="3CE9F575" w14:textId="456D1CE0" w:rsidR="00CE1CB0" w:rsidRPr="005F0DFB" w:rsidRDefault="00CE1CB0" w:rsidP="00771156">
            <w:pPr>
              <w:spacing w:after="0" w:line="240" w:lineRule="auto"/>
              <w:rPr>
                <w:rFonts w:ascii="Times New Roman" w:hAnsi="Times New Roman"/>
                <w:sz w:val="24"/>
                <w:szCs w:val="24"/>
              </w:rPr>
            </w:pPr>
            <w:r>
              <w:rPr>
                <w:rFonts w:ascii="Times New Roman" w:hAnsi="Times New Roman"/>
                <w:sz w:val="24"/>
                <w:szCs w:val="24"/>
              </w:rPr>
              <w:t xml:space="preserve">Innowacyjność – przez innowacyjność rozumie się zmianę mającą na celu wdrożenie nowego na obszarze LGD lub znacząco udoskonalonego produktu, usługi, procesu, organizacji lub nowego sposobu wykorzystania lub zmobilizowania istniejących lokalnych zasobów przyrodniczych, historycznych, kulturowych czy społecznych. </w:t>
            </w:r>
          </w:p>
          <w:p w14:paraId="767A65AA" w14:textId="77777777" w:rsidR="00CE1CB0" w:rsidRPr="005F0DFB" w:rsidRDefault="00CE1CB0" w:rsidP="008626B0">
            <w:pPr>
              <w:spacing w:after="0" w:line="240" w:lineRule="auto"/>
              <w:rPr>
                <w:rFonts w:ascii="Times New Roman" w:hAnsi="Times New Roman"/>
                <w:sz w:val="24"/>
                <w:szCs w:val="24"/>
              </w:rPr>
            </w:pPr>
            <w:r w:rsidRPr="009B6DF6">
              <w:rPr>
                <w:rFonts w:ascii="Times New Roman" w:hAnsi="Times New Roman"/>
                <w:sz w:val="24"/>
                <w:szCs w:val="24"/>
              </w:rPr>
              <w:t xml:space="preserve">Ocenie podlegać będzie stopień oryginalności zmian w </w:t>
            </w:r>
            <w:r w:rsidRPr="005F0DFB">
              <w:rPr>
                <w:rFonts w:ascii="Times New Roman" w:hAnsi="Times New Roman"/>
                <w:sz w:val="24"/>
                <w:szCs w:val="24"/>
              </w:rPr>
              <w:t>innowacyjności:</w:t>
            </w:r>
          </w:p>
          <w:p w14:paraId="509B14A1" w14:textId="50CC9780"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w:t>
            </w:r>
            <w:r w:rsidRPr="009B6DF6">
              <w:rPr>
                <w:rFonts w:ascii="Times New Roman" w:hAnsi="Times New Roman"/>
                <w:sz w:val="24"/>
                <w:szCs w:val="24"/>
              </w:rPr>
              <w:t xml:space="preserve"> </w:t>
            </w:r>
            <w:r w:rsidRPr="009B6DF6">
              <w:rPr>
                <w:rFonts w:ascii="Times New Roman" w:hAnsi="Times New Roman"/>
                <w:b/>
                <w:bCs/>
                <w:sz w:val="24"/>
                <w:szCs w:val="24"/>
              </w:rPr>
              <w:t xml:space="preserve">innowacje kreatywne </w:t>
            </w:r>
            <w:r w:rsidRPr="009B6DF6">
              <w:rPr>
                <w:rFonts w:ascii="Times New Roman" w:hAnsi="Times New Roman"/>
                <w:sz w:val="24"/>
                <w:szCs w:val="24"/>
              </w:rPr>
              <w:t>– powstające w wyniku</w:t>
            </w:r>
            <w:r w:rsidR="00B3150A">
              <w:rPr>
                <w:rFonts w:ascii="Times New Roman" w:hAnsi="Times New Roman"/>
                <w:sz w:val="24"/>
                <w:szCs w:val="24"/>
              </w:rPr>
              <w:t xml:space="preserve"> autorskiego</w:t>
            </w:r>
            <w:r w:rsidRPr="009B6DF6">
              <w:rPr>
                <w:rFonts w:ascii="Times New Roman" w:hAnsi="Times New Roman"/>
                <w:sz w:val="24"/>
                <w:szCs w:val="24"/>
              </w:rPr>
              <w:t xml:space="preserve"> pomysłu, dotyczące nowych produktów, usług, procesów lub organizacji. Do efektów wdrożenia innowacji zaliczamy m.in.: zwiększenie funkcjonalności, użyteczności produktów i </w:t>
            </w:r>
            <w:r w:rsidR="00001D92" w:rsidRPr="009B6DF6">
              <w:rPr>
                <w:rFonts w:ascii="Times New Roman" w:hAnsi="Times New Roman"/>
                <w:sz w:val="24"/>
                <w:szCs w:val="24"/>
              </w:rPr>
              <w:t>usług, unowocześnienie</w:t>
            </w:r>
            <w:r w:rsidRPr="009B6DF6">
              <w:rPr>
                <w:rFonts w:ascii="Times New Roman" w:hAnsi="Times New Roman"/>
                <w:sz w:val="24"/>
                <w:szCs w:val="24"/>
              </w:rPr>
              <w:t xml:space="preserve"> przestarzałych systemów,</w:t>
            </w:r>
            <w:r w:rsidRPr="005F0DFB">
              <w:rPr>
                <w:rFonts w:ascii="Times New Roman" w:hAnsi="Times New Roman"/>
                <w:sz w:val="24"/>
                <w:szCs w:val="24"/>
              </w:rPr>
              <w:t xml:space="preserve"> </w:t>
            </w:r>
            <w:r w:rsidRPr="009B6DF6">
              <w:rPr>
                <w:rFonts w:ascii="Times New Roman" w:hAnsi="Times New Roman"/>
                <w:sz w:val="24"/>
                <w:szCs w:val="24"/>
              </w:rPr>
              <w:t>udoskonalenie technologii,</w:t>
            </w:r>
            <w:r w:rsidRPr="005F0DFB">
              <w:rPr>
                <w:rFonts w:ascii="Times New Roman" w:hAnsi="Times New Roman"/>
                <w:sz w:val="24"/>
                <w:szCs w:val="24"/>
              </w:rPr>
              <w:t xml:space="preserve"> </w:t>
            </w:r>
            <w:r w:rsidRPr="009B6DF6">
              <w:rPr>
                <w:rFonts w:ascii="Times New Roman" w:hAnsi="Times New Roman"/>
                <w:sz w:val="24"/>
                <w:szCs w:val="24"/>
              </w:rPr>
              <w:t>usprawnienie komunikacji międzyludzkiej,</w:t>
            </w:r>
            <w:r w:rsidRPr="005F0DFB">
              <w:rPr>
                <w:rFonts w:ascii="Times New Roman" w:hAnsi="Times New Roman"/>
                <w:sz w:val="24"/>
                <w:szCs w:val="24"/>
              </w:rPr>
              <w:t xml:space="preserve"> </w:t>
            </w:r>
            <w:r w:rsidRPr="009B6DF6">
              <w:rPr>
                <w:rFonts w:ascii="Times New Roman" w:hAnsi="Times New Roman"/>
                <w:sz w:val="24"/>
                <w:szCs w:val="24"/>
              </w:rPr>
              <w:t>optymalizację czasu pracy,</w:t>
            </w:r>
            <w:r w:rsidRPr="005F0DFB">
              <w:rPr>
                <w:rFonts w:ascii="Times New Roman" w:hAnsi="Times New Roman"/>
                <w:sz w:val="24"/>
                <w:szCs w:val="24"/>
              </w:rPr>
              <w:t xml:space="preserve"> </w:t>
            </w:r>
            <w:r w:rsidRPr="009B6DF6">
              <w:rPr>
                <w:rFonts w:ascii="Times New Roman" w:hAnsi="Times New Roman"/>
                <w:sz w:val="24"/>
                <w:szCs w:val="24"/>
              </w:rPr>
              <w:t>ochronę środowiska naturalnego.</w:t>
            </w:r>
          </w:p>
          <w:p w14:paraId="687357A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b/>
                <w:bCs/>
                <w:sz w:val="24"/>
                <w:szCs w:val="24"/>
              </w:rPr>
              <w:t>- innowacje imitujące</w:t>
            </w:r>
            <w:r w:rsidRPr="005F0DFB">
              <w:rPr>
                <w:rFonts w:ascii="Times New Roman" w:hAnsi="Times New Roman"/>
                <w:sz w:val="24"/>
                <w:szCs w:val="24"/>
              </w:rPr>
              <w:t xml:space="preserve">, tj. wzorowane na wcześniej powstałych produktach, usługach, procesach lub organizacji, dotyczące nowego sposobu wykorzystania lub zmobilizowania istniejących lokalnych zasobów przyrodniczych, historycznych, kulturowych czy społecznych. </w:t>
            </w:r>
          </w:p>
          <w:p w14:paraId="2BF6827A" w14:textId="00224DBE"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b/>
                <w:bCs/>
                <w:sz w:val="24"/>
                <w:szCs w:val="24"/>
              </w:rPr>
              <w:t>- innowacje pozorne</w:t>
            </w:r>
            <w:r w:rsidRPr="005F0DFB">
              <w:rPr>
                <w:rFonts w:ascii="Times New Roman" w:hAnsi="Times New Roman"/>
                <w:sz w:val="24"/>
                <w:szCs w:val="24"/>
              </w:rPr>
              <w:t>, które w rzeczywistości nie bę</w:t>
            </w:r>
            <w:r w:rsidR="00771156">
              <w:rPr>
                <w:rFonts w:ascii="Times New Roman" w:hAnsi="Times New Roman"/>
                <w:sz w:val="24"/>
                <w:szCs w:val="24"/>
              </w:rPr>
              <w:t>dą</w:t>
            </w:r>
            <w:r w:rsidRPr="005F0DFB">
              <w:rPr>
                <w:rFonts w:ascii="Times New Roman" w:hAnsi="Times New Roman"/>
                <w:sz w:val="24"/>
                <w:szCs w:val="24"/>
              </w:rPr>
              <w:t xml:space="preserve"> innowacjami w skali LSR, a jedynie drobnymi zmianami oferującymi rzekome nowości nie będą punktowane. </w:t>
            </w:r>
          </w:p>
        </w:tc>
        <w:tc>
          <w:tcPr>
            <w:tcW w:w="3711" w:type="dxa"/>
            <w:shd w:val="clear" w:color="auto" w:fill="auto"/>
          </w:tcPr>
          <w:p w14:paraId="2AF84FDF"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Innowacyjność:</w:t>
            </w:r>
          </w:p>
          <w:p w14:paraId="131CF7C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 innowacje kreatywne – </w:t>
            </w:r>
            <w:r>
              <w:rPr>
                <w:rFonts w:ascii="Times New Roman" w:hAnsi="Times New Roman"/>
                <w:sz w:val="24"/>
                <w:szCs w:val="24"/>
              </w:rPr>
              <w:t>3</w:t>
            </w:r>
            <w:r w:rsidRPr="005F0DFB">
              <w:rPr>
                <w:rFonts w:ascii="Times New Roman" w:hAnsi="Times New Roman"/>
                <w:sz w:val="24"/>
                <w:szCs w:val="24"/>
              </w:rPr>
              <w:t xml:space="preserve"> pkt.</w:t>
            </w:r>
          </w:p>
          <w:p w14:paraId="595A57FF"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 innowacje imitujące – </w:t>
            </w:r>
            <w:r>
              <w:rPr>
                <w:rFonts w:ascii="Times New Roman" w:hAnsi="Times New Roman"/>
                <w:sz w:val="24"/>
                <w:szCs w:val="24"/>
              </w:rPr>
              <w:t>2</w:t>
            </w:r>
            <w:r w:rsidRPr="005F0DFB">
              <w:rPr>
                <w:rFonts w:ascii="Times New Roman" w:hAnsi="Times New Roman"/>
                <w:sz w:val="24"/>
                <w:szCs w:val="24"/>
              </w:rPr>
              <w:t xml:space="preserve"> pkt.</w:t>
            </w:r>
          </w:p>
          <w:p w14:paraId="79EEAF25"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innowacje pozorne – 0 pkt.</w:t>
            </w:r>
          </w:p>
          <w:p w14:paraId="54C212A7" w14:textId="77777777" w:rsidR="00CE1CB0" w:rsidRPr="005F0DFB" w:rsidRDefault="00CE1CB0" w:rsidP="008626B0">
            <w:pPr>
              <w:spacing w:after="0" w:line="240" w:lineRule="auto"/>
              <w:ind w:left="720"/>
              <w:rPr>
                <w:rFonts w:ascii="Times New Roman" w:hAnsi="Times New Roman"/>
                <w:sz w:val="24"/>
                <w:szCs w:val="24"/>
              </w:rPr>
            </w:pPr>
          </w:p>
          <w:p w14:paraId="34528662" w14:textId="77777777" w:rsidR="00CE1CB0" w:rsidRPr="005F0DFB" w:rsidRDefault="00CE1CB0" w:rsidP="008626B0">
            <w:pPr>
              <w:spacing w:after="0" w:line="240" w:lineRule="auto"/>
              <w:rPr>
                <w:rFonts w:ascii="Times New Roman" w:hAnsi="Times New Roman"/>
                <w:sz w:val="24"/>
                <w:szCs w:val="24"/>
              </w:rPr>
            </w:pPr>
          </w:p>
        </w:tc>
        <w:tc>
          <w:tcPr>
            <w:tcW w:w="3426" w:type="dxa"/>
          </w:tcPr>
          <w:p w14:paraId="5CFA1ECA"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p>
        </w:tc>
        <w:tc>
          <w:tcPr>
            <w:tcW w:w="1722" w:type="dxa"/>
          </w:tcPr>
          <w:p w14:paraId="027C0646"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1E9D0CC1" w14:textId="77777777" w:rsidTr="008626B0">
        <w:tc>
          <w:tcPr>
            <w:tcW w:w="543" w:type="dxa"/>
            <w:shd w:val="clear" w:color="auto" w:fill="auto"/>
          </w:tcPr>
          <w:p w14:paraId="63708619"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5</w:t>
            </w:r>
            <w:r w:rsidRPr="005F0DFB">
              <w:rPr>
                <w:rFonts w:ascii="Times New Roman" w:hAnsi="Times New Roman"/>
                <w:sz w:val="24"/>
                <w:szCs w:val="24"/>
              </w:rPr>
              <w:t>.</w:t>
            </w:r>
          </w:p>
        </w:tc>
        <w:tc>
          <w:tcPr>
            <w:tcW w:w="1843" w:type="dxa"/>
            <w:shd w:val="clear" w:color="auto" w:fill="auto"/>
          </w:tcPr>
          <w:p w14:paraId="6ED5578D"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Wykorzystanie lokalnych zasobów i walorów </w:t>
            </w:r>
          </w:p>
        </w:tc>
        <w:tc>
          <w:tcPr>
            <w:tcW w:w="3655" w:type="dxa"/>
            <w:shd w:val="clear" w:color="auto" w:fill="auto"/>
          </w:tcPr>
          <w:p w14:paraId="098CC0B3"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wykorzystujące i integrujące lokalny potencjał np. zasoby naturalne, w tym przyrodnicze, lokalizację, dziedzictwo lokalne, w tym kulinarne, popyt na szczególnego rodzaju usługi.</w:t>
            </w:r>
          </w:p>
        </w:tc>
        <w:tc>
          <w:tcPr>
            <w:tcW w:w="3711" w:type="dxa"/>
            <w:shd w:val="clear" w:color="auto" w:fill="auto"/>
          </w:tcPr>
          <w:p w14:paraId="77C94BE5" w14:textId="77777777" w:rsidR="00CE1CB0" w:rsidRPr="002D6CA9" w:rsidRDefault="00CE1CB0" w:rsidP="00F2310E">
            <w:pPr>
              <w:numPr>
                <w:ilvl w:val="0"/>
                <w:numId w:val="12"/>
              </w:numPr>
              <w:spacing w:after="0" w:line="240" w:lineRule="auto"/>
              <w:rPr>
                <w:rFonts w:ascii="Times New Roman" w:hAnsi="Times New Roman"/>
                <w:sz w:val="24"/>
                <w:szCs w:val="24"/>
              </w:rPr>
            </w:pPr>
            <w:r w:rsidRPr="002D6CA9">
              <w:rPr>
                <w:rFonts w:ascii="Times New Roman" w:hAnsi="Times New Roman"/>
                <w:sz w:val="24"/>
                <w:szCs w:val="24"/>
              </w:rPr>
              <w:t xml:space="preserve">Operacja uwzględnia wykorzystanie lokalnych zasobów i walorów – </w:t>
            </w:r>
            <w:r>
              <w:rPr>
                <w:rFonts w:ascii="Times New Roman" w:hAnsi="Times New Roman"/>
                <w:sz w:val="24"/>
                <w:szCs w:val="24"/>
              </w:rPr>
              <w:t>3</w:t>
            </w:r>
            <w:r w:rsidRPr="002D6CA9">
              <w:rPr>
                <w:rFonts w:ascii="Times New Roman" w:hAnsi="Times New Roman"/>
                <w:sz w:val="24"/>
                <w:szCs w:val="24"/>
              </w:rPr>
              <w:t xml:space="preserve"> pkt.</w:t>
            </w:r>
          </w:p>
          <w:p w14:paraId="00718B3A" w14:textId="77777777" w:rsidR="00CE1CB0" w:rsidRPr="002D6CA9" w:rsidRDefault="00CE1CB0" w:rsidP="00F2310E">
            <w:pPr>
              <w:numPr>
                <w:ilvl w:val="0"/>
                <w:numId w:val="12"/>
              </w:numPr>
              <w:spacing w:after="0" w:line="240" w:lineRule="auto"/>
              <w:rPr>
                <w:rFonts w:ascii="Times New Roman" w:hAnsi="Times New Roman"/>
                <w:sz w:val="24"/>
                <w:szCs w:val="24"/>
              </w:rPr>
            </w:pPr>
            <w:r w:rsidRPr="002D6CA9">
              <w:rPr>
                <w:rFonts w:ascii="Times New Roman" w:hAnsi="Times New Roman"/>
                <w:sz w:val="24"/>
                <w:szCs w:val="24"/>
              </w:rPr>
              <w:t>Operacja nie uwzględnia wykorzystania lokalnych zasobów i walorów – 0 pkt.</w:t>
            </w:r>
          </w:p>
          <w:p w14:paraId="1EF6ED70" w14:textId="77777777" w:rsidR="00CE1CB0" w:rsidRPr="002D6CA9" w:rsidRDefault="00CE1CB0" w:rsidP="008626B0">
            <w:pPr>
              <w:spacing w:after="0" w:line="240" w:lineRule="auto"/>
              <w:rPr>
                <w:rFonts w:ascii="Times New Roman" w:hAnsi="Times New Roman"/>
                <w:sz w:val="24"/>
                <w:szCs w:val="24"/>
              </w:rPr>
            </w:pPr>
          </w:p>
        </w:tc>
        <w:tc>
          <w:tcPr>
            <w:tcW w:w="3426" w:type="dxa"/>
          </w:tcPr>
          <w:p w14:paraId="01FFB277"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p w14:paraId="496E36DD" w14:textId="77777777" w:rsidR="00CE1CB0" w:rsidRDefault="00CE1CB0" w:rsidP="008626B0">
            <w:pPr>
              <w:spacing w:after="0" w:line="240" w:lineRule="auto"/>
              <w:rPr>
                <w:rFonts w:ascii="Times New Roman" w:hAnsi="Times New Roman"/>
                <w:sz w:val="24"/>
                <w:szCs w:val="24"/>
              </w:rPr>
            </w:pPr>
          </w:p>
          <w:p w14:paraId="243BA441" w14:textId="77777777" w:rsidR="00CE1CB0" w:rsidRPr="005F0DFB" w:rsidRDefault="00CE1CB0" w:rsidP="008626B0">
            <w:pPr>
              <w:spacing w:after="0" w:line="240" w:lineRule="auto"/>
              <w:rPr>
                <w:rFonts w:ascii="Times New Roman" w:hAnsi="Times New Roman"/>
                <w:sz w:val="24"/>
                <w:szCs w:val="24"/>
              </w:rPr>
            </w:pPr>
          </w:p>
        </w:tc>
        <w:tc>
          <w:tcPr>
            <w:tcW w:w="1722" w:type="dxa"/>
          </w:tcPr>
          <w:p w14:paraId="1F1909E3"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0C8DA1BC" w14:textId="77777777" w:rsidTr="008626B0">
        <w:tc>
          <w:tcPr>
            <w:tcW w:w="543" w:type="dxa"/>
            <w:shd w:val="clear" w:color="auto" w:fill="auto"/>
          </w:tcPr>
          <w:p w14:paraId="09FEFFF0"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6</w:t>
            </w:r>
            <w:r w:rsidRPr="005F0DFB">
              <w:rPr>
                <w:rFonts w:ascii="Times New Roman" w:hAnsi="Times New Roman"/>
                <w:sz w:val="24"/>
                <w:szCs w:val="24"/>
              </w:rPr>
              <w:t>.</w:t>
            </w:r>
          </w:p>
        </w:tc>
        <w:tc>
          <w:tcPr>
            <w:tcW w:w="1843" w:type="dxa"/>
            <w:shd w:val="clear" w:color="auto" w:fill="auto"/>
          </w:tcPr>
          <w:p w14:paraId="16AD5A0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Preferowane grupy wnioskodawców</w:t>
            </w:r>
          </w:p>
        </w:tc>
        <w:tc>
          <w:tcPr>
            <w:tcW w:w="3655" w:type="dxa"/>
            <w:shd w:val="clear" w:color="auto" w:fill="auto"/>
          </w:tcPr>
          <w:p w14:paraId="13638F1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Mieszkańcy obszarów wiejskich zagrożeni wykluczeniem społecznym ze względu na przynależność do grup w niekorzystnej sytuacji (tj. kobiety, osoby z niepełnosprawnościami i ich opiekunowie, migranci, osoby poszukujące zatrudnienia w tym mieszkańcy osiedli po-PGR, rolnicy z małych gospodarstw rolnych</w:t>
            </w:r>
            <w:r>
              <w:rPr>
                <w:rFonts w:ascii="Times New Roman" w:hAnsi="Times New Roman"/>
                <w:sz w:val="24"/>
                <w:szCs w:val="24"/>
              </w:rPr>
              <w:t xml:space="preserve"> </w:t>
            </w:r>
            <w:r w:rsidRPr="005F0DFB">
              <w:rPr>
                <w:rFonts w:ascii="Times New Roman" w:hAnsi="Times New Roman"/>
                <w:sz w:val="24"/>
                <w:szCs w:val="24"/>
              </w:rPr>
              <w:t>oraz ludzie młodzi do 25 r.ż. i seniorzy).</w:t>
            </w:r>
          </w:p>
        </w:tc>
        <w:tc>
          <w:tcPr>
            <w:tcW w:w="3711" w:type="dxa"/>
            <w:shd w:val="clear" w:color="auto" w:fill="auto"/>
          </w:tcPr>
          <w:p w14:paraId="6D75494F" w14:textId="77777777" w:rsidR="00CE1CB0" w:rsidRPr="00001D92" w:rsidRDefault="00CE1CB0" w:rsidP="00F2310E">
            <w:pPr>
              <w:numPr>
                <w:ilvl w:val="0"/>
                <w:numId w:val="13"/>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przedstawiciele co najmniej dwóch grup osób w niekorzystnej sytuacji, a jedną z tych grup stanowią osoby młode do 25 roku życia – 3 pkt.</w:t>
            </w:r>
          </w:p>
          <w:p w14:paraId="478A4160" w14:textId="77777777" w:rsidR="00CE1CB0" w:rsidRPr="00001D92" w:rsidRDefault="00CE1CB0" w:rsidP="00F2310E">
            <w:pPr>
              <w:numPr>
                <w:ilvl w:val="0"/>
                <w:numId w:val="13"/>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przedstawiciele co najmniej dwóch grup osób w niekorzystnej sytuacji – 2 pkt.</w:t>
            </w:r>
          </w:p>
          <w:p w14:paraId="1DFAEC73" w14:textId="77777777" w:rsidR="00CE1CB0" w:rsidRPr="00001D92" w:rsidRDefault="00CE1CB0" w:rsidP="008626B0">
            <w:pPr>
              <w:spacing w:after="0" w:line="240" w:lineRule="auto"/>
              <w:ind w:left="720"/>
              <w:rPr>
                <w:rFonts w:ascii="Times New Roman" w:hAnsi="Times New Roman"/>
                <w:sz w:val="24"/>
                <w:szCs w:val="24"/>
              </w:rPr>
            </w:pPr>
          </w:p>
          <w:p w14:paraId="3E4DB2D2" w14:textId="77777777" w:rsidR="00CE1CB0" w:rsidRPr="00001D92" w:rsidRDefault="00CE1CB0" w:rsidP="00F2310E">
            <w:pPr>
              <w:numPr>
                <w:ilvl w:val="0"/>
                <w:numId w:val="13"/>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przedstawiciele co najmniej dwóch grup osób w niekorzystnej sytuacji – 3 pkt.</w:t>
            </w:r>
          </w:p>
          <w:p w14:paraId="45D20139" w14:textId="77777777" w:rsidR="00CE1CB0" w:rsidRPr="00001D92" w:rsidRDefault="00CE1CB0" w:rsidP="00F2310E">
            <w:pPr>
              <w:numPr>
                <w:ilvl w:val="0"/>
                <w:numId w:val="13"/>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osoby nie należące grup w niekorzystnej sytuacji – 0 pkt.</w:t>
            </w:r>
          </w:p>
        </w:tc>
        <w:tc>
          <w:tcPr>
            <w:tcW w:w="3426" w:type="dxa"/>
          </w:tcPr>
          <w:p w14:paraId="2485C6DE"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p w14:paraId="3B2B005A" w14:textId="77777777" w:rsidR="00CE1CB0" w:rsidRPr="005F0DFB" w:rsidRDefault="00CE1CB0" w:rsidP="008626B0">
            <w:pPr>
              <w:spacing w:after="0" w:line="240" w:lineRule="auto"/>
              <w:rPr>
                <w:rFonts w:ascii="Times New Roman" w:hAnsi="Times New Roman"/>
                <w:sz w:val="24"/>
                <w:szCs w:val="24"/>
              </w:rPr>
            </w:pPr>
          </w:p>
        </w:tc>
        <w:tc>
          <w:tcPr>
            <w:tcW w:w="1722" w:type="dxa"/>
          </w:tcPr>
          <w:p w14:paraId="7BB93E08"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TAK</w:t>
            </w:r>
          </w:p>
        </w:tc>
      </w:tr>
      <w:tr w:rsidR="00CE1CB0" w:rsidRPr="005F0DFB" w14:paraId="3FEF6B09" w14:textId="77777777" w:rsidTr="008626B0">
        <w:tc>
          <w:tcPr>
            <w:tcW w:w="543" w:type="dxa"/>
            <w:shd w:val="clear" w:color="auto" w:fill="auto"/>
          </w:tcPr>
          <w:p w14:paraId="30826145"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7</w:t>
            </w:r>
            <w:r w:rsidRPr="005F0DFB">
              <w:rPr>
                <w:rFonts w:ascii="Times New Roman" w:hAnsi="Times New Roman"/>
                <w:sz w:val="24"/>
                <w:szCs w:val="24"/>
              </w:rPr>
              <w:t>.</w:t>
            </w:r>
          </w:p>
        </w:tc>
        <w:tc>
          <w:tcPr>
            <w:tcW w:w="1843" w:type="dxa"/>
            <w:shd w:val="clear" w:color="auto" w:fill="auto"/>
          </w:tcPr>
          <w:p w14:paraId="14DA61D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Oddolne koncepcje inteligentnej wsi </w:t>
            </w:r>
          </w:p>
        </w:tc>
        <w:tc>
          <w:tcPr>
            <w:tcW w:w="3655" w:type="dxa"/>
            <w:shd w:val="clear" w:color="auto" w:fill="auto"/>
          </w:tcPr>
          <w:p w14:paraId="18E863C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W ramach kryterium premiowane będą operacje</w:t>
            </w:r>
            <w:r w:rsidRPr="00E1639A">
              <w:rPr>
                <w:rFonts w:ascii="Times New Roman" w:hAnsi="Times New Roman"/>
                <w:sz w:val="24"/>
                <w:szCs w:val="24"/>
              </w:rPr>
              <w:t>, które wynikają z zapisów</w:t>
            </w:r>
            <w:r>
              <w:rPr>
                <w:rFonts w:ascii="Times New Roman" w:hAnsi="Times New Roman"/>
                <w:sz w:val="24"/>
                <w:szCs w:val="24"/>
              </w:rPr>
              <w:t xml:space="preserve"> </w:t>
            </w:r>
            <w:r w:rsidRPr="00E1639A">
              <w:rPr>
                <w:rFonts w:ascii="Times New Roman" w:hAnsi="Times New Roman"/>
                <w:sz w:val="24"/>
                <w:szCs w:val="24"/>
              </w:rPr>
              <w:t xml:space="preserve">stworzonej koncepcji </w:t>
            </w:r>
            <w:r>
              <w:rPr>
                <w:rFonts w:ascii="Times New Roman" w:hAnsi="Times New Roman"/>
                <w:sz w:val="24"/>
                <w:szCs w:val="24"/>
              </w:rPr>
              <w:t>inteligentnej wsi</w:t>
            </w:r>
            <w:r w:rsidRPr="00E1639A">
              <w:rPr>
                <w:rFonts w:ascii="Times New Roman" w:hAnsi="Times New Roman"/>
                <w:sz w:val="24"/>
                <w:szCs w:val="24"/>
              </w:rPr>
              <w:t xml:space="preserve"> dla </w:t>
            </w:r>
            <w:r>
              <w:rPr>
                <w:rFonts w:ascii="Times New Roman" w:hAnsi="Times New Roman"/>
                <w:sz w:val="24"/>
                <w:szCs w:val="24"/>
              </w:rPr>
              <w:t>obszaru</w:t>
            </w:r>
            <w:r w:rsidRPr="00E1639A">
              <w:rPr>
                <w:rFonts w:ascii="Times New Roman" w:hAnsi="Times New Roman"/>
                <w:sz w:val="24"/>
                <w:szCs w:val="24"/>
              </w:rPr>
              <w:t xml:space="preserve"> działa</w:t>
            </w:r>
            <w:r>
              <w:rPr>
                <w:rFonts w:ascii="Times New Roman" w:hAnsi="Times New Roman"/>
                <w:sz w:val="24"/>
                <w:szCs w:val="24"/>
              </w:rPr>
              <w:t>nia Wnioskodawcy</w:t>
            </w:r>
            <w:r w:rsidRPr="00E1639A">
              <w:rPr>
                <w:rFonts w:ascii="Times New Roman" w:hAnsi="Times New Roman"/>
                <w:sz w:val="24"/>
                <w:szCs w:val="24"/>
              </w:rPr>
              <w:t>.</w:t>
            </w:r>
          </w:p>
        </w:tc>
        <w:tc>
          <w:tcPr>
            <w:tcW w:w="3711" w:type="dxa"/>
            <w:shd w:val="clear" w:color="auto" w:fill="auto"/>
          </w:tcPr>
          <w:p w14:paraId="264887A3" w14:textId="77777777" w:rsidR="00CE1CB0" w:rsidRDefault="00CE1CB0" w:rsidP="00F2310E">
            <w:pPr>
              <w:numPr>
                <w:ilvl w:val="0"/>
                <w:numId w:val="14"/>
              </w:numPr>
              <w:spacing w:after="0" w:line="240" w:lineRule="auto"/>
              <w:rPr>
                <w:rFonts w:ascii="Times New Roman" w:hAnsi="Times New Roman"/>
                <w:sz w:val="24"/>
                <w:szCs w:val="24"/>
              </w:rPr>
            </w:pPr>
            <w:r w:rsidRPr="005F0DFB">
              <w:rPr>
                <w:rFonts w:ascii="Times New Roman" w:hAnsi="Times New Roman"/>
                <w:sz w:val="24"/>
                <w:szCs w:val="24"/>
              </w:rPr>
              <w:t xml:space="preserve">Operacja wynika z opracowanej koncepcji inteligentnej wsi – </w:t>
            </w:r>
            <w:r>
              <w:rPr>
                <w:rFonts w:ascii="Times New Roman" w:hAnsi="Times New Roman"/>
                <w:sz w:val="24"/>
                <w:szCs w:val="24"/>
              </w:rPr>
              <w:t>3 pkt.</w:t>
            </w:r>
          </w:p>
          <w:p w14:paraId="4788307C" w14:textId="77777777" w:rsidR="00CE1CB0" w:rsidRPr="00CF307F" w:rsidRDefault="00CE1CB0" w:rsidP="00F2310E">
            <w:pPr>
              <w:numPr>
                <w:ilvl w:val="0"/>
                <w:numId w:val="14"/>
              </w:numPr>
              <w:spacing w:after="0" w:line="240" w:lineRule="auto"/>
              <w:rPr>
                <w:rFonts w:ascii="Times New Roman" w:hAnsi="Times New Roman"/>
                <w:sz w:val="24"/>
                <w:szCs w:val="24"/>
              </w:rPr>
            </w:pPr>
            <w:r w:rsidRPr="00CF307F">
              <w:rPr>
                <w:rFonts w:ascii="Times New Roman" w:hAnsi="Times New Roman"/>
                <w:sz w:val="24"/>
                <w:szCs w:val="24"/>
              </w:rPr>
              <w:t>Operacja nie wynika z opracowanych koncepcji inteligentnych wsi – 0 pkt.</w:t>
            </w:r>
          </w:p>
        </w:tc>
        <w:tc>
          <w:tcPr>
            <w:tcW w:w="3426" w:type="dxa"/>
          </w:tcPr>
          <w:p w14:paraId="4EB8EEB2"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 </w:t>
            </w:r>
            <w:r>
              <w:rPr>
                <w:rFonts w:ascii="Times New Roman" w:hAnsi="Times New Roman"/>
                <w:sz w:val="24"/>
                <w:szCs w:val="24"/>
              </w:rPr>
              <w:t>oraz na podstawie treści koncepcji przyjętych na obszarze Lokalnej Grupy Działania Podkowa.</w:t>
            </w:r>
          </w:p>
        </w:tc>
        <w:tc>
          <w:tcPr>
            <w:tcW w:w="1722" w:type="dxa"/>
          </w:tcPr>
          <w:p w14:paraId="27AA00DA"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TAK</w:t>
            </w:r>
          </w:p>
        </w:tc>
      </w:tr>
      <w:tr w:rsidR="00CE1CB0" w:rsidRPr="005F0DFB" w14:paraId="292D2B4A" w14:textId="77777777" w:rsidTr="008626B0">
        <w:tc>
          <w:tcPr>
            <w:tcW w:w="543" w:type="dxa"/>
            <w:shd w:val="clear" w:color="auto" w:fill="auto"/>
          </w:tcPr>
          <w:p w14:paraId="5EEA08D1"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8</w:t>
            </w:r>
            <w:r w:rsidRPr="005F0DFB">
              <w:rPr>
                <w:rFonts w:ascii="Times New Roman" w:hAnsi="Times New Roman"/>
                <w:sz w:val="24"/>
                <w:szCs w:val="24"/>
              </w:rPr>
              <w:t>.</w:t>
            </w:r>
          </w:p>
        </w:tc>
        <w:tc>
          <w:tcPr>
            <w:tcW w:w="1843" w:type="dxa"/>
            <w:shd w:val="clear" w:color="auto" w:fill="auto"/>
          </w:tcPr>
          <w:p w14:paraId="53611DE1" w14:textId="77777777" w:rsidR="00CE1CB0" w:rsidRPr="005F0DFB" w:rsidRDefault="00CE1CB0" w:rsidP="008626B0">
            <w:pPr>
              <w:pStyle w:val="Default"/>
            </w:pPr>
            <w:r w:rsidRPr="005F0DFB">
              <w:t>Doradztwo biura LGD</w:t>
            </w:r>
          </w:p>
        </w:tc>
        <w:tc>
          <w:tcPr>
            <w:tcW w:w="3655" w:type="dxa"/>
            <w:shd w:val="clear" w:color="auto" w:fill="auto"/>
          </w:tcPr>
          <w:p w14:paraId="33029D01" w14:textId="125815B4" w:rsidR="00CE1CB0" w:rsidRPr="005F0DFB" w:rsidRDefault="00CE1CB0" w:rsidP="008626B0">
            <w:pPr>
              <w:pStyle w:val="Default"/>
            </w:pPr>
            <w:r w:rsidRPr="005F0DFB">
              <w:t>Wnioskodawca korzystał z bezpłatnego doradztwa na etapie przygotowania wniosku i/lub ze szkoleń oferowanych przez LGD</w:t>
            </w:r>
            <w:r w:rsidR="00B3150A">
              <w:t>.</w:t>
            </w:r>
          </w:p>
        </w:tc>
        <w:tc>
          <w:tcPr>
            <w:tcW w:w="3711" w:type="dxa"/>
            <w:shd w:val="clear" w:color="auto" w:fill="auto"/>
          </w:tcPr>
          <w:p w14:paraId="064E09CE" w14:textId="77777777" w:rsidR="00CE1CB0" w:rsidRPr="005F0DFB" w:rsidRDefault="00CE1CB0" w:rsidP="008626B0">
            <w:pPr>
              <w:pStyle w:val="Default"/>
            </w:pPr>
            <w:r w:rsidRPr="005F0DFB">
              <w:t xml:space="preserve">a) Wnioskodawca korzystał z doradztwa na etapie przygotowania wniosku i/ lub ze szkoleń - </w:t>
            </w:r>
            <w:r>
              <w:t>3</w:t>
            </w:r>
            <w:r w:rsidRPr="005F0DFB">
              <w:t xml:space="preserve"> pkt. </w:t>
            </w:r>
          </w:p>
          <w:p w14:paraId="7ADAE086" w14:textId="77777777" w:rsidR="00CE1CB0" w:rsidRPr="005F0DFB" w:rsidRDefault="00CE1CB0" w:rsidP="008626B0">
            <w:pPr>
              <w:pStyle w:val="Default"/>
            </w:pPr>
            <w:r w:rsidRPr="005F0DFB">
              <w:t>b) Wnioskodawca nie korzystał z żadnej formy doradztwa - 0 pkt</w:t>
            </w:r>
          </w:p>
          <w:p w14:paraId="39E479D4" w14:textId="77777777" w:rsidR="00CE1CB0" w:rsidRPr="005F0DFB" w:rsidRDefault="00CE1CB0" w:rsidP="008626B0">
            <w:pPr>
              <w:pStyle w:val="Default"/>
            </w:pPr>
          </w:p>
        </w:tc>
        <w:tc>
          <w:tcPr>
            <w:tcW w:w="3426" w:type="dxa"/>
          </w:tcPr>
          <w:p w14:paraId="0D228B51" w14:textId="77777777" w:rsidR="00CE1CB0" w:rsidRPr="005F0DFB" w:rsidRDefault="00CE1CB0" w:rsidP="008626B0">
            <w:pPr>
              <w:pStyle w:val="Default"/>
            </w:pPr>
            <w:r w:rsidRPr="005F0DFB">
              <w:t>Kryterium weryfikowane na podstawie informacji zawartych we wniosku i</w:t>
            </w:r>
            <w:r>
              <w:t>/lub</w:t>
            </w:r>
            <w:r w:rsidRPr="005F0DFB">
              <w:t xml:space="preserve"> załącznikach (potwierdzone przez LGD doradztwo na </w:t>
            </w:r>
            <w:r>
              <w:t>k</w:t>
            </w:r>
            <w:r w:rsidRPr="005F0DFB">
              <w:t>arcie doradztwa</w:t>
            </w:r>
            <w:r>
              <w:t xml:space="preserve"> </w:t>
            </w:r>
            <w:r w:rsidRPr="005F0DFB">
              <w:t>oraz uczestnictwo reprezentanta w szkoleniu organizowanym przed rozpoczęciem danego naboru potwierdzone</w:t>
            </w:r>
            <w:r>
              <w:t xml:space="preserve"> podpisem na liście obecności</w:t>
            </w:r>
            <w:r w:rsidRPr="005F0DFB">
              <w:t>).</w:t>
            </w:r>
          </w:p>
        </w:tc>
        <w:tc>
          <w:tcPr>
            <w:tcW w:w="1722" w:type="dxa"/>
          </w:tcPr>
          <w:p w14:paraId="014758FA" w14:textId="77777777" w:rsidR="00CE1CB0" w:rsidRPr="005F0DFB" w:rsidRDefault="00CE1CB0" w:rsidP="008626B0">
            <w:pPr>
              <w:pStyle w:val="Default"/>
            </w:pPr>
            <w:r>
              <w:t>NIE</w:t>
            </w:r>
          </w:p>
        </w:tc>
      </w:tr>
    </w:tbl>
    <w:p w14:paraId="44E27FC3" w14:textId="77777777" w:rsidR="00CE1CB0" w:rsidRDefault="00CE1CB0" w:rsidP="00CE1CB0">
      <w:pPr>
        <w:rPr>
          <w:rFonts w:ascii="Times New Roman" w:hAnsi="Times New Roman"/>
          <w:sz w:val="24"/>
          <w:szCs w:val="24"/>
        </w:rPr>
      </w:pPr>
    </w:p>
    <w:p w14:paraId="404C44ED" w14:textId="77777777" w:rsidR="00CE1CB0" w:rsidRDefault="00CE1CB0" w:rsidP="00CE1CB0">
      <w:pPr>
        <w:rPr>
          <w:rFonts w:ascii="Times New Roman" w:hAnsi="Times New Roman"/>
          <w:sz w:val="24"/>
          <w:szCs w:val="24"/>
        </w:rPr>
      </w:pPr>
      <w:r>
        <w:rPr>
          <w:rFonts w:ascii="Times New Roman" w:hAnsi="Times New Roman"/>
          <w:sz w:val="24"/>
          <w:szCs w:val="24"/>
        </w:rPr>
        <w:t xml:space="preserve">LGD ustala minimum punktowe w wysokości </w:t>
      </w:r>
      <w:r w:rsidRPr="00001D92">
        <w:rPr>
          <w:rFonts w:ascii="Times New Roman" w:hAnsi="Times New Roman"/>
          <w:sz w:val="24"/>
          <w:szCs w:val="24"/>
        </w:rPr>
        <w:t>30</w:t>
      </w:r>
      <w:r>
        <w:rPr>
          <w:rFonts w:ascii="Times New Roman" w:hAnsi="Times New Roman"/>
          <w:sz w:val="24"/>
          <w:szCs w:val="24"/>
        </w:rPr>
        <w:t xml:space="preserve">% całkowitej liczby punktów, o wartości zaokrąglonej w dół. </w:t>
      </w:r>
    </w:p>
    <w:p w14:paraId="48FD1B9A" w14:textId="77777777" w:rsidR="00CE1CB0" w:rsidRDefault="00CE1CB0" w:rsidP="00CE1CB0">
      <w:pPr>
        <w:rPr>
          <w:rFonts w:ascii="Times New Roman" w:hAnsi="Times New Roman"/>
          <w:sz w:val="24"/>
          <w:szCs w:val="24"/>
        </w:rPr>
      </w:pPr>
      <w:r>
        <w:rPr>
          <w:rFonts w:ascii="Times New Roman" w:hAnsi="Times New Roman"/>
          <w:sz w:val="24"/>
          <w:szCs w:val="24"/>
        </w:rPr>
        <w:t>*</w:t>
      </w:r>
      <w:r w:rsidRPr="00241380">
        <w:rPr>
          <w:rFonts w:ascii="Times New Roman" w:hAnsi="Times New Roman"/>
          <w:sz w:val="24"/>
          <w:szCs w:val="24"/>
        </w:rPr>
        <w:t>LGD zapewnia zastosowanie co najmniej dwóch kryteriów wyboru operacji o charakterze rankingującym zawartych w Wytycznych szczegółowych w zakresie przyznawania i wypłaty pomocy finansowej w ramach Planu Strategicznego dla Wspólnej Polityki Rolnej na lata 2023-2027 dla interwencji I.13.1 LEADER/Rozwój Lokalny Kierowany przez Społeczność (RLKS) - komponent Wdrażanie LSR. W wyniku oceny punktowej kolejność przysługiwania pomocy jest ustalana od operacji, która uzyskała największą liczbę punktów, do operacji, która uzyskała najmniejszą liczbę punktów, a w przypadku uzyskania jednakowej liczby punktów przez dwie lub więcej operacje, o kolejności na liście decydują kryteria rozstrzygające opisane w Regulaminie naboru</w:t>
      </w:r>
      <w:r>
        <w:rPr>
          <w:rFonts w:ascii="Times New Roman" w:hAnsi="Times New Roman"/>
          <w:sz w:val="24"/>
          <w:szCs w:val="24"/>
        </w:rPr>
        <w:t>.</w:t>
      </w:r>
    </w:p>
    <w:p w14:paraId="3118C52D" w14:textId="77777777" w:rsidR="00CE1CB0" w:rsidRPr="005F0DFB" w:rsidRDefault="00CE1CB0" w:rsidP="00CE1CB0">
      <w:pPr>
        <w:rPr>
          <w:rFonts w:ascii="Times New Roman" w:hAnsi="Times New Roman"/>
          <w:sz w:val="24"/>
          <w:szCs w:val="24"/>
        </w:rPr>
      </w:pPr>
    </w:p>
    <w:p w14:paraId="7C131487" w14:textId="77777777" w:rsidR="00AB7D8C" w:rsidRPr="00346472" w:rsidRDefault="00AB7D8C" w:rsidP="00744543">
      <w:pPr>
        <w:rPr>
          <w:rFonts w:cstheme="minorHAnsi"/>
        </w:rPr>
      </w:pPr>
    </w:p>
    <w:sectPr w:rsidR="00AB7D8C" w:rsidRPr="00346472" w:rsidSect="00631D9B">
      <w:headerReference w:type="default" r:id="rId8"/>
      <w:footerReference w:type="default" r:id="rId9"/>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9B731" w14:textId="77777777" w:rsidR="003E7AB3" w:rsidRDefault="003E7AB3">
      <w:pPr>
        <w:spacing w:after="0" w:line="240" w:lineRule="auto"/>
      </w:pPr>
      <w:r>
        <w:separator/>
      </w:r>
    </w:p>
  </w:endnote>
  <w:endnote w:type="continuationSeparator" w:id="0">
    <w:p w14:paraId="0D17B8D9" w14:textId="77777777" w:rsidR="003E7AB3" w:rsidRDefault="003E7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49F2A" w14:textId="77777777" w:rsidR="00F214E2" w:rsidRDefault="00F214E2">
    <w:pPr>
      <w:pStyle w:val="Tekstpodstawowy"/>
      <w:spacing w:line="14" w:lineRule="auto"/>
      <w:rPr>
        <w:sz w:val="20"/>
      </w:rPr>
    </w:pPr>
    <w:r>
      <w:rPr>
        <w:noProof/>
        <w:lang w:eastAsia="pl-PL"/>
      </w:rPr>
      <mc:AlternateContent>
        <mc:Choice Requires="wps">
          <w:drawing>
            <wp:anchor distT="0" distB="0" distL="0" distR="0" simplePos="0" relativeHeight="251659264" behindDoc="1" locked="0" layoutInCell="1" allowOverlap="1" wp14:anchorId="4C7C13AE" wp14:editId="4F0BD433">
              <wp:simplePos x="0" y="0"/>
              <wp:positionH relativeFrom="page">
                <wp:posOffset>6696202</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wps:txbx>
                    <wps:bodyPr wrap="square" lIns="0" tIns="0" rIns="0" bIns="0" rtlCol="0">
                      <a:noAutofit/>
                    </wps:bodyPr>
                  </wps:wsp>
                </a:graphicData>
              </a:graphic>
            </wp:anchor>
          </w:drawing>
        </mc:Choice>
        <mc:Fallback>
          <w:pict>
            <v:shapetype w14:anchorId="4C7C13AE" id="_x0000_t202" coordsize="21600,21600" o:spt="202" path="m,l,21600r21600,l21600,xe">
              <v:stroke joinstyle="miter"/>
              <v:path gradientshapeok="t" o:connecttype="rect"/>
            </v:shapetype>
            <v:shape id="Textbox 1" o:spid="_x0000_s1026" type="#_x0000_t202" style="position:absolute;margin-left:527.2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BPRkDr4gAA&#10;AA8BAAAPAAAAAAAAAAAAAAAAAO4DAABkcnMvZG93bnJldi54bWxQSwUGAAAAAAQABADzAAAA/QQA&#10;AAAA&#10;" filled="f" stroked="f">
              <v:textbox inset="0,0,0,0">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78BD3" w14:textId="77777777" w:rsidR="003E7AB3" w:rsidRDefault="003E7AB3">
      <w:pPr>
        <w:spacing w:after="0" w:line="240" w:lineRule="auto"/>
      </w:pPr>
      <w:r>
        <w:separator/>
      </w:r>
    </w:p>
  </w:footnote>
  <w:footnote w:type="continuationSeparator" w:id="0">
    <w:p w14:paraId="37CB3DE5" w14:textId="77777777" w:rsidR="003E7AB3" w:rsidRDefault="003E7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6CB24" w14:textId="1C34353C" w:rsidR="00BD41AC" w:rsidRDefault="00CF1601" w:rsidP="006527F2">
    <w:pPr>
      <w:suppressAutoHyphens/>
      <w:spacing w:after="0"/>
      <w:jc w:val="center"/>
      <w:rPr>
        <w:rFonts w:ascii="Liberation Serif" w:eastAsia="Noto Serif CJK SC" w:hAnsi="Liberation Serif" w:cs="Noto Sans Devanagari"/>
        <w:i/>
        <w:kern w:val="2"/>
        <w:sz w:val="16"/>
        <w:szCs w:val="16"/>
        <w:lang w:eastAsia="zh-CN" w:bidi="hi-IN"/>
      </w:rPr>
    </w:pPr>
    <w:r>
      <w:rPr>
        <w:rFonts w:ascii="Arial" w:hAnsi="Arial" w:cs="Arial"/>
        <w:noProof/>
        <w:color w:val="000000"/>
        <w:bdr w:val="none" w:sz="0" w:space="0" w:color="auto" w:frame="1"/>
      </w:rPr>
      <w:drawing>
        <wp:inline distT="0" distB="0" distL="0" distR="0" wp14:anchorId="0330D11D" wp14:editId="300523ED">
          <wp:extent cx="6429375" cy="828675"/>
          <wp:effectExtent l="0" t="0" r="9525" b="9525"/>
          <wp:docPr id="1913352652" name="Obraz 191335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9375" cy="828675"/>
                  </a:xfrm>
                  <a:prstGeom prst="rect">
                    <a:avLst/>
                  </a:prstGeom>
                  <a:noFill/>
                  <a:ln>
                    <a:noFill/>
                  </a:ln>
                </pic:spPr>
              </pic:pic>
            </a:graphicData>
          </a:graphic>
        </wp:inline>
      </w:drawing>
    </w:r>
  </w:p>
  <w:p w14:paraId="29191327" w14:textId="77777777" w:rsidR="00BD41AC" w:rsidRDefault="00BD41AC" w:rsidP="00764565">
    <w:pPr>
      <w:suppressAutoHyphens/>
      <w:spacing w:after="0"/>
      <w:jc w:val="right"/>
      <w:rPr>
        <w:rFonts w:ascii="Liberation Serif" w:eastAsia="Noto Serif CJK SC" w:hAnsi="Liberation Serif" w:cs="Noto Sans Devanagari"/>
        <w:i/>
        <w:kern w:val="2"/>
        <w:sz w:val="16"/>
        <w:szCs w:val="16"/>
        <w:lang w:eastAsia="zh-CN" w:bidi="hi-IN"/>
      </w:rPr>
    </w:pPr>
  </w:p>
  <w:p w14:paraId="29099549" w14:textId="77777777" w:rsidR="00BD41AC" w:rsidRDefault="00BD41AC" w:rsidP="00764565">
    <w:pPr>
      <w:suppressAutoHyphens/>
      <w:spacing w:after="0"/>
      <w:jc w:val="right"/>
      <w:rPr>
        <w:rFonts w:ascii="Liberation Serif" w:eastAsia="Noto Serif CJK SC" w:hAnsi="Liberation Serif" w:cs="Noto Sans Devanagari"/>
        <w:i/>
        <w:kern w:val="2"/>
        <w:sz w:val="16"/>
        <w:szCs w:val="16"/>
        <w:lang w:eastAsia="zh-CN" w:bidi="hi-IN"/>
      </w:rPr>
    </w:pPr>
  </w:p>
  <w:p w14:paraId="661CFC21" w14:textId="74A896B2" w:rsidR="00764565"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sidRPr="00DE17F7">
      <w:rPr>
        <w:rFonts w:ascii="Liberation Serif" w:eastAsia="Noto Serif CJK SC" w:hAnsi="Liberation Serif" w:cs="Noto Sans Devanagari"/>
        <w:i/>
        <w:kern w:val="2"/>
        <w:sz w:val="16"/>
        <w:szCs w:val="16"/>
        <w:lang w:eastAsia="zh-CN" w:bidi="hi-IN"/>
      </w:rPr>
      <w:t>Załącznik nr</w:t>
    </w:r>
    <w:r>
      <w:rPr>
        <w:rFonts w:ascii="Liberation Serif" w:eastAsia="Noto Serif CJK SC" w:hAnsi="Liberation Serif" w:cs="Noto Sans Devanagari"/>
        <w:i/>
        <w:kern w:val="2"/>
        <w:sz w:val="16"/>
        <w:szCs w:val="16"/>
        <w:lang w:eastAsia="zh-CN" w:bidi="hi-IN"/>
      </w:rPr>
      <w:t xml:space="preserve"> 1 do Uchwały nr </w:t>
    </w:r>
    <w:r w:rsidR="00F10E1E">
      <w:rPr>
        <w:rFonts w:ascii="Liberation Serif" w:eastAsia="Noto Serif CJK SC" w:hAnsi="Liberation Serif" w:cs="Noto Sans Devanagari"/>
        <w:i/>
        <w:kern w:val="2"/>
        <w:sz w:val="16"/>
        <w:szCs w:val="16"/>
        <w:lang w:eastAsia="zh-CN" w:bidi="hi-IN"/>
      </w:rPr>
      <w:t>6/25</w:t>
    </w:r>
    <w:r>
      <w:rPr>
        <w:rFonts w:ascii="Liberation Serif" w:eastAsia="Noto Serif CJK SC" w:hAnsi="Liberation Serif" w:cs="Noto Sans Devanagari"/>
        <w:i/>
        <w:kern w:val="2"/>
        <w:sz w:val="16"/>
        <w:szCs w:val="16"/>
        <w:lang w:eastAsia="zh-CN" w:bidi="hi-IN"/>
      </w:rPr>
      <w:t xml:space="preserve"> </w:t>
    </w:r>
  </w:p>
  <w:p w14:paraId="51005A2F" w14:textId="77777777" w:rsidR="00BD41AC"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Pr>
        <w:rFonts w:ascii="Liberation Serif" w:eastAsia="Noto Serif CJK SC" w:hAnsi="Liberation Serif" w:cs="Noto Sans Devanagari"/>
        <w:i/>
        <w:kern w:val="2"/>
        <w:sz w:val="16"/>
        <w:szCs w:val="16"/>
        <w:lang w:eastAsia="zh-CN" w:bidi="hi-IN"/>
      </w:rPr>
      <w:t xml:space="preserve">Zarządu Lokalnej </w:t>
    </w:r>
    <w:r w:rsidR="00BD41AC">
      <w:rPr>
        <w:rFonts w:ascii="Liberation Serif" w:eastAsia="Noto Serif CJK SC" w:hAnsi="Liberation Serif" w:cs="Noto Sans Devanagari"/>
        <w:i/>
        <w:kern w:val="2"/>
        <w:sz w:val="16"/>
        <w:szCs w:val="16"/>
        <w:lang w:eastAsia="zh-CN" w:bidi="hi-IN"/>
      </w:rPr>
      <w:t>G</w:t>
    </w:r>
    <w:r>
      <w:rPr>
        <w:rFonts w:ascii="Liberation Serif" w:eastAsia="Noto Serif CJK SC" w:hAnsi="Liberation Serif" w:cs="Noto Sans Devanagari"/>
        <w:i/>
        <w:kern w:val="2"/>
        <w:sz w:val="16"/>
        <w:szCs w:val="16"/>
        <w:lang w:eastAsia="zh-CN" w:bidi="hi-IN"/>
      </w:rPr>
      <w:t>rupy Działania „Podkowa”</w:t>
    </w:r>
  </w:p>
  <w:p w14:paraId="2EDEF2E9" w14:textId="303B9DF7" w:rsidR="00CF1601" w:rsidRPr="00764565"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sidRPr="00764565">
      <w:rPr>
        <w:rFonts w:ascii="Liberation Serif" w:eastAsia="Noto Serif CJK SC" w:hAnsi="Liberation Serif" w:cs="Noto Sans Devanagari"/>
        <w:i/>
        <w:kern w:val="2"/>
        <w:sz w:val="16"/>
        <w:szCs w:val="16"/>
        <w:lang w:eastAsia="zh-CN" w:bidi="hi-IN"/>
      </w:rPr>
      <w:t xml:space="preserve"> </w:t>
    </w:r>
    <w:r>
      <w:rPr>
        <w:rFonts w:ascii="Liberation Serif" w:eastAsia="Noto Serif CJK SC" w:hAnsi="Liberation Serif" w:cs="Noto Sans Devanagari"/>
        <w:i/>
        <w:kern w:val="2"/>
        <w:sz w:val="16"/>
        <w:szCs w:val="16"/>
        <w:lang w:eastAsia="zh-CN" w:bidi="hi-IN"/>
      </w:rPr>
      <w:t xml:space="preserve">z dnia </w:t>
    </w:r>
    <w:r w:rsidR="00F10E1E">
      <w:rPr>
        <w:rFonts w:ascii="Liberation Serif" w:eastAsia="Noto Serif CJK SC" w:hAnsi="Liberation Serif" w:cs="Noto Sans Devanagari"/>
        <w:i/>
        <w:kern w:val="2"/>
        <w:sz w:val="16"/>
        <w:szCs w:val="16"/>
        <w:lang w:eastAsia="zh-CN" w:bidi="hi-IN"/>
      </w:rPr>
      <w:t>5 lutego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03741"/>
    <w:multiLevelType w:val="hybridMultilevel"/>
    <w:tmpl w:val="CC3A49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7058D"/>
    <w:multiLevelType w:val="hybridMultilevel"/>
    <w:tmpl w:val="6EC4DF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DB4E07"/>
    <w:multiLevelType w:val="multilevel"/>
    <w:tmpl w:val="39283B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8A72F2"/>
    <w:multiLevelType w:val="hybridMultilevel"/>
    <w:tmpl w:val="6F5CB5B2"/>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434391"/>
    <w:multiLevelType w:val="hybridMultilevel"/>
    <w:tmpl w:val="BC9E9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4C0351"/>
    <w:multiLevelType w:val="hybridMultilevel"/>
    <w:tmpl w:val="E6249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731C84"/>
    <w:multiLevelType w:val="hybridMultilevel"/>
    <w:tmpl w:val="FD28B0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81322B"/>
    <w:multiLevelType w:val="hybridMultilevel"/>
    <w:tmpl w:val="486EFA9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C6E41AF"/>
    <w:multiLevelType w:val="hybridMultilevel"/>
    <w:tmpl w:val="4B88E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4F6194"/>
    <w:multiLevelType w:val="multilevel"/>
    <w:tmpl w:val="FA56517A"/>
    <w:lvl w:ilvl="0">
      <w:start w:val="1"/>
      <w:numFmt w:val="upperRoman"/>
      <w:pStyle w:val="Proc"/>
      <w:lvlText w:val="Rozdział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073CB7"/>
    <w:multiLevelType w:val="hybridMultilevel"/>
    <w:tmpl w:val="277885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876E0"/>
    <w:multiLevelType w:val="hybridMultilevel"/>
    <w:tmpl w:val="7F684FEC"/>
    <w:lvl w:ilvl="0" w:tplc="04150017">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A61FC8"/>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D14103"/>
    <w:multiLevelType w:val="hybridMultilevel"/>
    <w:tmpl w:val="B1F47FF6"/>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346AC1"/>
    <w:multiLevelType w:val="hybridMultilevel"/>
    <w:tmpl w:val="738ADCCC"/>
    <w:lvl w:ilvl="0" w:tplc="771E4378">
      <w:start w:val="1"/>
      <w:numFmt w:val="decimal"/>
      <w:lvlText w:val="%1."/>
      <w:lvlJc w:val="left"/>
      <w:pPr>
        <w:ind w:left="1430" w:hanging="71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2B502DC"/>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2818AB"/>
    <w:multiLevelType w:val="hybridMultilevel"/>
    <w:tmpl w:val="C0DC3A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376953"/>
    <w:multiLevelType w:val="hybridMultilevel"/>
    <w:tmpl w:val="DB7CD1A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num w:numId="1" w16cid:durableId="1556627358">
    <w:abstractNumId w:val="14"/>
  </w:num>
  <w:num w:numId="2" w16cid:durableId="1526334611">
    <w:abstractNumId w:val="3"/>
  </w:num>
  <w:num w:numId="3" w16cid:durableId="739866813">
    <w:abstractNumId w:val="4"/>
  </w:num>
  <w:num w:numId="4" w16cid:durableId="309093519">
    <w:abstractNumId w:val="5"/>
  </w:num>
  <w:num w:numId="5" w16cid:durableId="494150882">
    <w:abstractNumId w:val="8"/>
  </w:num>
  <w:num w:numId="6" w16cid:durableId="1067800910">
    <w:abstractNumId w:val="11"/>
  </w:num>
  <w:num w:numId="7" w16cid:durableId="1275789673">
    <w:abstractNumId w:val="12"/>
  </w:num>
  <w:num w:numId="8" w16cid:durableId="633369991">
    <w:abstractNumId w:val="15"/>
  </w:num>
  <w:num w:numId="9" w16cid:durableId="1990088038">
    <w:abstractNumId w:val="13"/>
  </w:num>
  <w:num w:numId="10" w16cid:durableId="215819161">
    <w:abstractNumId w:val="2"/>
  </w:num>
  <w:num w:numId="11" w16cid:durableId="825779625">
    <w:abstractNumId w:val="9"/>
  </w:num>
  <w:num w:numId="12" w16cid:durableId="609288382">
    <w:abstractNumId w:val="1"/>
  </w:num>
  <w:num w:numId="13" w16cid:durableId="415520563">
    <w:abstractNumId w:val="6"/>
  </w:num>
  <w:num w:numId="14" w16cid:durableId="2102142530">
    <w:abstractNumId w:val="7"/>
  </w:num>
  <w:num w:numId="15" w16cid:durableId="1748764972">
    <w:abstractNumId w:val="10"/>
  </w:num>
  <w:num w:numId="16" w16cid:durableId="997463489">
    <w:abstractNumId w:val="0"/>
  </w:num>
  <w:num w:numId="17" w16cid:durableId="870265667">
    <w:abstractNumId w:val="16"/>
  </w:num>
  <w:num w:numId="18" w16cid:durableId="1522820492">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2A"/>
    <w:rsid w:val="00001D92"/>
    <w:rsid w:val="0000795C"/>
    <w:rsid w:val="00021235"/>
    <w:rsid w:val="00026E60"/>
    <w:rsid w:val="0004148A"/>
    <w:rsid w:val="000725AF"/>
    <w:rsid w:val="00072B9B"/>
    <w:rsid w:val="000913A2"/>
    <w:rsid w:val="000958DB"/>
    <w:rsid w:val="000E6EEA"/>
    <w:rsid w:val="000F1959"/>
    <w:rsid w:val="00103E09"/>
    <w:rsid w:val="00124A6C"/>
    <w:rsid w:val="00135D4F"/>
    <w:rsid w:val="0013771B"/>
    <w:rsid w:val="00143777"/>
    <w:rsid w:val="001472D5"/>
    <w:rsid w:val="00153171"/>
    <w:rsid w:val="001837CB"/>
    <w:rsid w:val="00196C92"/>
    <w:rsid w:val="001A2610"/>
    <w:rsid w:val="001B16CE"/>
    <w:rsid w:val="001B6918"/>
    <w:rsid w:val="001C4AF8"/>
    <w:rsid w:val="001D3DA5"/>
    <w:rsid w:val="001F144D"/>
    <w:rsid w:val="00200ED1"/>
    <w:rsid w:val="00201B2A"/>
    <w:rsid w:val="002229F1"/>
    <w:rsid w:val="00227E6F"/>
    <w:rsid w:val="00241C64"/>
    <w:rsid w:val="00295E71"/>
    <w:rsid w:val="002978DF"/>
    <w:rsid w:val="002A08CD"/>
    <w:rsid w:val="002C25F2"/>
    <w:rsid w:val="002C3805"/>
    <w:rsid w:val="002D0516"/>
    <w:rsid w:val="002D523E"/>
    <w:rsid w:val="002E39DF"/>
    <w:rsid w:val="002E3BB8"/>
    <w:rsid w:val="002F0EBC"/>
    <w:rsid w:val="003141A9"/>
    <w:rsid w:val="003176F5"/>
    <w:rsid w:val="00331D72"/>
    <w:rsid w:val="00336F5E"/>
    <w:rsid w:val="00337A4E"/>
    <w:rsid w:val="00342049"/>
    <w:rsid w:val="00346472"/>
    <w:rsid w:val="00354A21"/>
    <w:rsid w:val="00355593"/>
    <w:rsid w:val="003726FC"/>
    <w:rsid w:val="00393DE3"/>
    <w:rsid w:val="003D3FC6"/>
    <w:rsid w:val="003D61D0"/>
    <w:rsid w:val="003E1627"/>
    <w:rsid w:val="003E54AF"/>
    <w:rsid w:val="003E7AB3"/>
    <w:rsid w:val="00453877"/>
    <w:rsid w:val="004632DC"/>
    <w:rsid w:val="004945B4"/>
    <w:rsid w:val="00497DBD"/>
    <w:rsid w:val="00497DC0"/>
    <w:rsid w:val="004C39C5"/>
    <w:rsid w:val="004D41F6"/>
    <w:rsid w:val="004E06E1"/>
    <w:rsid w:val="004F0500"/>
    <w:rsid w:val="004F76C4"/>
    <w:rsid w:val="004F7999"/>
    <w:rsid w:val="00504575"/>
    <w:rsid w:val="00515E4E"/>
    <w:rsid w:val="00556626"/>
    <w:rsid w:val="00557B21"/>
    <w:rsid w:val="00572DFD"/>
    <w:rsid w:val="00584848"/>
    <w:rsid w:val="005C7D9E"/>
    <w:rsid w:val="005F6A14"/>
    <w:rsid w:val="006040E8"/>
    <w:rsid w:val="00612EA5"/>
    <w:rsid w:val="00630F0C"/>
    <w:rsid w:val="00631D9B"/>
    <w:rsid w:val="006527F2"/>
    <w:rsid w:val="00654ADE"/>
    <w:rsid w:val="00665BDB"/>
    <w:rsid w:val="00677F09"/>
    <w:rsid w:val="006867F9"/>
    <w:rsid w:val="0068718C"/>
    <w:rsid w:val="006874D5"/>
    <w:rsid w:val="006A4636"/>
    <w:rsid w:val="006A497E"/>
    <w:rsid w:val="006C6457"/>
    <w:rsid w:val="006E2481"/>
    <w:rsid w:val="006E33C7"/>
    <w:rsid w:val="006F6F48"/>
    <w:rsid w:val="00701841"/>
    <w:rsid w:val="00713FF7"/>
    <w:rsid w:val="00723BBF"/>
    <w:rsid w:val="007312DC"/>
    <w:rsid w:val="00744543"/>
    <w:rsid w:val="00762C7E"/>
    <w:rsid w:val="00764565"/>
    <w:rsid w:val="00771156"/>
    <w:rsid w:val="00774C4B"/>
    <w:rsid w:val="00776740"/>
    <w:rsid w:val="007770AF"/>
    <w:rsid w:val="007855F6"/>
    <w:rsid w:val="007A2E76"/>
    <w:rsid w:val="007B2875"/>
    <w:rsid w:val="007F0E89"/>
    <w:rsid w:val="00807463"/>
    <w:rsid w:val="00824586"/>
    <w:rsid w:val="00856DD5"/>
    <w:rsid w:val="00871C67"/>
    <w:rsid w:val="00892974"/>
    <w:rsid w:val="00893331"/>
    <w:rsid w:val="008954DC"/>
    <w:rsid w:val="008A49CD"/>
    <w:rsid w:val="008B63D7"/>
    <w:rsid w:val="008C1185"/>
    <w:rsid w:val="008D35AB"/>
    <w:rsid w:val="008D5BEA"/>
    <w:rsid w:val="008E2D9A"/>
    <w:rsid w:val="008F325B"/>
    <w:rsid w:val="008F4F90"/>
    <w:rsid w:val="009049E4"/>
    <w:rsid w:val="0091207B"/>
    <w:rsid w:val="00924442"/>
    <w:rsid w:val="00930417"/>
    <w:rsid w:val="00942793"/>
    <w:rsid w:val="009453A8"/>
    <w:rsid w:val="0096056A"/>
    <w:rsid w:val="00971B78"/>
    <w:rsid w:val="009B1116"/>
    <w:rsid w:val="00A21010"/>
    <w:rsid w:val="00A639F3"/>
    <w:rsid w:val="00A757AA"/>
    <w:rsid w:val="00A820DB"/>
    <w:rsid w:val="00AB02F5"/>
    <w:rsid w:val="00AB1219"/>
    <w:rsid w:val="00AB3CAE"/>
    <w:rsid w:val="00AB4008"/>
    <w:rsid w:val="00AB7D8C"/>
    <w:rsid w:val="00AC4036"/>
    <w:rsid w:val="00AE2EDC"/>
    <w:rsid w:val="00AE4822"/>
    <w:rsid w:val="00AF18BD"/>
    <w:rsid w:val="00B00599"/>
    <w:rsid w:val="00B00CE8"/>
    <w:rsid w:val="00B0181B"/>
    <w:rsid w:val="00B24B5D"/>
    <w:rsid w:val="00B3150A"/>
    <w:rsid w:val="00B37818"/>
    <w:rsid w:val="00B92CFA"/>
    <w:rsid w:val="00BB123F"/>
    <w:rsid w:val="00BD3215"/>
    <w:rsid w:val="00BD3E7E"/>
    <w:rsid w:val="00BD41AC"/>
    <w:rsid w:val="00BE1975"/>
    <w:rsid w:val="00BE1BE3"/>
    <w:rsid w:val="00BF0EBC"/>
    <w:rsid w:val="00BF5922"/>
    <w:rsid w:val="00C2139C"/>
    <w:rsid w:val="00C40524"/>
    <w:rsid w:val="00C53CAB"/>
    <w:rsid w:val="00CB2168"/>
    <w:rsid w:val="00CB6766"/>
    <w:rsid w:val="00CC562A"/>
    <w:rsid w:val="00CE08E9"/>
    <w:rsid w:val="00CE1CB0"/>
    <w:rsid w:val="00CF0F2F"/>
    <w:rsid w:val="00CF1601"/>
    <w:rsid w:val="00CF3651"/>
    <w:rsid w:val="00D051EE"/>
    <w:rsid w:val="00D060B6"/>
    <w:rsid w:val="00D13110"/>
    <w:rsid w:val="00D30C5E"/>
    <w:rsid w:val="00D32A7E"/>
    <w:rsid w:val="00D46862"/>
    <w:rsid w:val="00D53B97"/>
    <w:rsid w:val="00D7228B"/>
    <w:rsid w:val="00D9041E"/>
    <w:rsid w:val="00D939BE"/>
    <w:rsid w:val="00D955B1"/>
    <w:rsid w:val="00DC70FD"/>
    <w:rsid w:val="00DD1076"/>
    <w:rsid w:val="00DD793C"/>
    <w:rsid w:val="00DD7A89"/>
    <w:rsid w:val="00E42869"/>
    <w:rsid w:val="00E80E71"/>
    <w:rsid w:val="00EB1111"/>
    <w:rsid w:val="00EC10B7"/>
    <w:rsid w:val="00EF7BD1"/>
    <w:rsid w:val="00F07C41"/>
    <w:rsid w:val="00F10E1E"/>
    <w:rsid w:val="00F214E2"/>
    <w:rsid w:val="00F2310E"/>
    <w:rsid w:val="00F24693"/>
    <w:rsid w:val="00F30368"/>
    <w:rsid w:val="00F3136B"/>
    <w:rsid w:val="00F40CE6"/>
    <w:rsid w:val="00F45418"/>
    <w:rsid w:val="00F60FC8"/>
    <w:rsid w:val="00F706D9"/>
    <w:rsid w:val="00F716C9"/>
    <w:rsid w:val="00F85AD4"/>
    <w:rsid w:val="00F90BFB"/>
    <w:rsid w:val="00F97FD2"/>
    <w:rsid w:val="00FB7B29"/>
    <w:rsid w:val="00FC693B"/>
    <w:rsid w:val="00FC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1698"/>
  <w15:chartTrackingRefBased/>
  <w15:docId w15:val="{A483EA51-B10D-4EB1-A3C4-76F086F2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1B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D1076"/>
    <w:pPr>
      <w:keepNext/>
      <w:keepLines/>
      <w:spacing w:before="240" w:after="0"/>
      <w:jc w:val="center"/>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semiHidden/>
    <w:unhideWhenUsed/>
    <w:qFormat/>
    <w:rsid w:val="00D32A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201B2A"/>
    <w:pPr>
      <w:tabs>
        <w:tab w:val="center" w:pos="4536"/>
        <w:tab w:val="right" w:pos="9072"/>
      </w:tabs>
      <w:suppressAutoHyphens/>
      <w:spacing w:after="200" w:line="276" w:lineRule="auto"/>
    </w:pPr>
    <w:rPr>
      <w:rFonts w:ascii="Calibri" w:eastAsia="Times New Roman" w:hAnsi="Calibri" w:cs="Calibri"/>
      <w:lang w:val="en-US" w:bidi="en-US"/>
    </w:rPr>
  </w:style>
  <w:style w:type="character" w:customStyle="1" w:styleId="NagwekZnak">
    <w:name w:val="Nagłówek Znak"/>
    <w:basedOn w:val="Domylnaczcionkaakapitu"/>
    <w:link w:val="Nagwek"/>
    <w:semiHidden/>
    <w:rsid w:val="00201B2A"/>
    <w:rPr>
      <w:rFonts w:ascii="Calibri" w:eastAsia="Times New Roman" w:hAnsi="Calibri" w:cs="Calibri"/>
      <w:lang w:val="en-US" w:bidi="en-US"/>
    </w:rPr>
  </w:style>
  <w:style w:type="character" w:customStyle="1" w:styleId="Nagwek2Znak">
    <w:name w:val="Nagłówek 2 Znak"/>
    <w:basedOn w:val="Domylnaczcionkaakapitu"/>
    <w:link w:val="Nagwek2"/>
    <w:uiPriority w:val="9"/>
    <w:rsid w:val="00DD107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01B2A"/>
    <w:rPr>
      <w:rFonts w:asciiTheme="majorHAnsi" w:eastAsiaTheme="majorEastAsia" w:hAnsiTheme="majorHAnsi" w:cstheme="majorBidi"/>
      <w:color w:val="2E74B5" w:themeColor="accent1" w:themeShade="BF"/>
      <w:sz w:val="32"/>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01B2A"/>
    <w:pPr>
      <w:ind w:left="720"/>
      <w:contextualSpacing/>
    </w:pPr>
  </w:style>
  <w:style w:type="paragraph" w:styleId="Tekstpodstawowy">
    <w:name w:val="Body Text"/>
    <w:basedOn w:val="Normalny"/>
    <w:link w:val="TekstpodstawowyZnak"/>
    <w:uiPriority w:val="1"/>
    <w:qFormat/>
    <w:rsid w:val="000958DB"/>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0958DB"/>
    <w:rPr>
      <w:rFonts w:ascii="Times New Roman" w:eastAsia="Times New Roman" w:hAnsi="Times New Roman" w:cs="Times New Roman"/>
    </w:rPr>
  </w:style>
  <w:style w:type="paragraph" w:styleId="Bezodstpw">
    <w:name w:val="No Spacing"/>
    <w:uiPriority w:val="1"/>
    <w:qFormat/>
    <w:rsid w:val="00D7228B"/>
    <w:pPr>
      <w:spacing w:after="0" w:line="240" w:lineRule="auto"/>
    </w:pPr>
    <w:rPr>
      <w:rFonts w:ascii="Calibri" w:eastAsia="Calibri" w:hAnsi="Calibri" w:cs="Calibri"/>
      <w:lang w:eastAsia="pl-PL"/>
    </w:rPr>
  </w:style>
  <w:style w:type="paragraph" w:styleId="Tekstdymka">
    <w:name w:val="Balloon Text"/>
    <w:basedOn w:val="Normalny"/>
    <w:link w:val="TekstdymkaZnak"/>
    <w:uiPriority w:val="99"/>
    <w:semiHidden/>
    <w:unhideWhenUsed/>
    <w:rsid w:val="007312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2DC"/>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3CAB"/>
  </w:style>
  <w:style w:type="paragraph" w:customStyle="1" w:styleId="Proc">
    <w:name w:val="Proc"/>
    <w:basedOn w:val="Nagwek1"/>
    <w:link w:val="ProcZnak"/>
    <w:qFormat/>
    <w:rsid w:val="000E6EEA"/>
    <w:pPr>
      <w:keepNext w:val="0"/>
      <w:keepLines w:val="0"/>
      <w:numPr>
        <w:numId w:val="11"/>
      </w:numPr>
      <w:spacing w:after="160"/>
    </w:pPr>
    <w:rPr>
      <w:rFonts w:ascii="Calibri" w:eastAsia="Calibri" w:hAnsi="Calibri" w:cs="Calibri"/>
      <w:color w:val="2E75B5"/>
      <w:sz w:val="28"/>
      <w:szCs w:val="28"/>
      <w:lang w:eastAsia="pl-PL"/>
    </w:rPr>
  </w:style>
  <w:style w:type="character" w:customStyle="1" w:styleId="ProcZnak">
    <w:name w:val="Proc Znak"/>
    <w:basedOn w:val="Nagwek1Znak"/>
    <w:link w:val="Proc"/>
    <w:rsid w:val="000E6EEA"/>
    <w:rPr>
      <w:rFonts w:ascii="Calibri" w:eastAsia="Calibri" w:hAnsi="Calibri" w:cs="Calibri"/>
      <w:color w:val="2E75B5"/>
      <w:sz w:val="28"/>
      <w:szCs w:val="28"/>
      <w:lang w:eastAsia="pl-PL"/>
    </w:rPr>
  </w:style>
  <w:style w:type="paragraph" w:customStyle="1" w:styleId="Proc2">
    <w:name w:val="Proc 2"/>
    <w:basedOn w:val="Nagwek2"/>
    <w:link w:val="Proc2Znak"/>
    <w:qFormat/>
    <w:rsid w:val="00346472"/>
    <w:pPr>
      <w:keepNext w:val="0"/>
      <w:keepLines w:val="0"/>
      <w:spacing w:after="160"/>
    </w:pPr>
    <w:rPr>
      <w:rFonts w:ascii="Calibri" w:eastAsia="Calibri" w:hAnsi="Calibri" w:cs="Calibri"/>
      <w:sz w:val="24"/>
      <w:szCs w:val="24"/>
      <w:lang w:eastAsia="pl-PL"/>
    </w:rPr>
  </w:style>
  <w:style w:type="character" w:customStyle="1" w:styleId="Proc2Znak">
    <w:name w:val="Proc 2 Znak"/>
    <w:basedOn w:val="Nagwek2Znak"/>
    <w:link w:val="Proc2"/>
    <w:rsid w:val="00346472"/>
    <w:rPr>
      <w:rFonts w:ascii="Calibri" w:eastAsia="Calibri" w:hAnsi="Calibri" w:cs="Calibri"/>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D32A7E"/>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CF16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601"/>
  </w:style>
  <w:style w:type="paragraph" w:customStyle="1" w:styleId="Default">
    <w:name w:val="Default"/>
    <w:rsid w:val="00CE1CB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5B1B-DC9A-4856-BC6A-3BF7573C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10</Pages>
  <Words>1465</Words>
  <Characters>8792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cp:keywords/>
  <dc:description/>
  <cp:lastModifiedBy>LGD Podkowa</cp:lastModifiedBy>
  <cp:revision>15</cp:revision>
  <cp:lastPrinted>2025-03-24T13:12:00Z</cp:lastPrinted>
  <dcterms:created xsi:type="dcterms:W3CDTF">2024-11-27T12:53:00Z</dcterms:created>
  <dcterms:modified xsi:type="dcterms:W3CDTF">2025-03-24T14:13:00Z</dcterms:modified>
</cp:coreProperties>
</file>